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pacing w:before="0" w:beforeAutospacing="0" w:after="0" w:afterAutospacing="0"/>
        <w:jc w:val="right"/>
        <w:rPr>
          <w:rFonts w:hint="eastAsia"/>
          <w:b/>
          <w:sz w:val="21"/>
          <w:szCs w:val="36"/>
        </w:rPr>
      </w:pPr>
      <w:r>
        <w:rPr>
          <w:rFonts w:hint="eastAsia" w:eastAsia="宋体"/>
          <w:color w:val="000000"/>
          <w:szCs w:val="21"/>
          <w:lang w:eastAsia="zh-CN"/>
        </w:rPr>
        <w:drawing>
          <wp:inline distT="0" distB="0" distL="114300" distR="114300">
            <wp:extent cx="937895" cy="935990"/>
            <wp:effectExtent l="0" t="0" r="14605" b="16510"/>
            <wp:docPr id="1" name="图片 1" descr="峰锐溪（确认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峰锐溪（确认稿）"/>
                    <pic:cNvPicPr>
                      <a:picLocks noChangeAspect="1"/>
                    </pic:cNvPicPr>
                  </pic:nvPicPr>
                  <pic:blipFill>
                    <a:blip r:embed="rId6"/>
                    <a:srcRect l="39471" t="27249" r="39804" b="31401"/>
                    <a:stretch>
                      <a:fillRect/>
                    </a:stretch>
                  </pic:blipFill>
                  <pic:spPr>
                    <a:xfrm>
                      <a:off x="0" y="0"/>
                      <a:ext cx="937895" cy="935990"/>
                    </a:xfrm>
                    <a:prstGeom prst="rect">
                      <a:avLst/>
                    </a:prstGeom>
                    <a:noFill/>
                    <a:ln>
                      <a:noFill/>
                    </a:ln>
                  </pic:spPr>
                </pic:pic>
              </a:graphicData>
            </a:graphic>
          </wp:inline>
        </w:drawing>
      </w:r>
    </w:p>
    <w:p>
      <w:pPr>
        <w:spacing w:line="360" w:lineRule="auto"/>
        <w:jc w:val="center"/>
        <w:rPr>
          <w:rFonts w:hint="eastAsia" w:ascii="宋体" w:hAnsi="宋体"/>
          <w:b/>
          <w:bCs/>
          <w:spacing w:val="60"/>
          <w:sz w:val="96"/>
          <w:szCs w:val="96"/>
        </w:rPr>
      </w:pPr>
    </w:p>
    <w:p>
      <w:pPr>
        <w:spacing w:line="360" w:lineRule="auto"/>
        <w:jc w:val="center"/>
        <w:rPr>
          <w:rFonts w:ascii="宋体" w:hAnsi="宋体"/>
          <w:b/>
          <w:bCs/>
          <w:spacing w:val="60"/>
          <w:sz w:val="96"/>
          <w:szCs w:val="96"/>
        </w:rPr>
      </w:pPr>
      <w:r>
        <w:rPr>
          <w:rFonts w:hint="eastAsia" w:ascii="宋体" w:hAnsi="宋体"/>
          <w:b/>
          <w:bCs/>
          <w:spacing w:val="60"/>
          <w:sz w:val="96"/>
          <w:szCs w:val="96"/>
        </w:rPr>
        <w:t>招标文件</w:t>
      </w:r>
    </w:p>
    <w:p>
      <w:pPr>
        <w:spacing w:line="360" w:lineRule="auto"/>
        <w:jc w:val="both"/>
        <w:rPr>
          <w:rFonts w:eastAsia="黑体"/>
          <w:sz w:val="25"/>
        </w:rPr>
      </w:pPr>
    </w:p>
    <w:p>
      <w:pPr>
        <w:spacing w:line="360" w:lineRule="auto"/>
        <w:jc w:val="both"/>
        <w:rPr>
          <w:rFonts w:eastAsia="黑体"/>
          <w:sz w:val="25"/>
        </w:rPr>
      </w:pPr>
    </w:p>
    <w:p>
      <w:pPr>
        <w:spacing w:line="360" w:lineRule="auto"/>
        <w:jc w:val="center"/>
        <w:rPr>
          <w:rFonts w:ascii="宋体" w:hAnsi="宋体"/>
          <w:b/>
          <w:sz w:val="28"/>
          <w:szCs w:val="28"/>
          <w:u w:val="single"/>
        </w:rPr>
      </w:pPr>
      <w:r>
        <w:rPr>
          <w:rFonts w:hint="eastAsia" w:ascii="宋体" w:hAnsi="宋体"/>
          <w:b/>
          <w:sz w:val="28"/>
          <w:szCs w:val="28"/>
        </w:rPr>
        <w:t>项目编号：</w:t>
      </w:r>
      <w:r>
        <w:rPr>
          <w:rFonts w:hint="eastAsia"/>
          <w:b/>
          <w:sz w:val="28"/>
          <w:szCs w:val="28"/>
          <w:u w:val="single"/>
          <w:lang w:eastAsia="zh-CN"/>
        </w:rPr>
        <w:t>HBFRX-GC-[2020]00356</w:t>
      </w:r>
    </w:p>
    <w:p>
      <w:pPr>
        <w:spacing w:line="360" w:lineRule="auto"/>
        <w:jc w:val="center"/>
        <w:rPr>
          <w:rFonts w:hint="eastAsia" w:eastAsia="黑体"/>
          <w:sz w:val="25"/>
        </w:rPr>
      </w:pPr>
      <w:r>
        <w:rPr>
          <w:rFonts w:hint="eastAsia" w:eastAsia="黑体"/>
          <w:sz w:val="25"/>
        </w:rPr>
        <w:t xml:space="preserve"> </w:t>
      </w:r>
    </w:p>
    <w:p>
      <w:pPr>
        <w:spacing w:line="360" w:lineRule="auto"/>
        <w:jc w:val="center"/>
        <w:rPr>
          <w:rFonts w:hint="eastAsia" w:eastAsia="黑体"/>
          <w:sz w:val="25"/>
        </w:rPr>
      </w:pPr>
    </w:p>
    <w:p>
      <w:pPr>
        <w:spacing w:line="360" w:lineRule="auto"/>
        <w:jc w:val="center"/>
        <w:rPr>
          <w:rFonts w:eastAsia="黑体"/>
          <w:sz w:val="25"/>
        </w:rPr>
      </w:pPr>
    </w:p>
    <w:p>
      <w:pPr>
        <w:spacing w:line="360" w:lineRule="auto"/>
        <w:ind w:left="3080" w:hanging="3080" w:hangingChars="1100"/>
        <w:rPr>
          <w:rFonts w:ascii="宋体" w:hAnsi="宋体"/>
          <w:position w:val="-48"/>
          <w:sz w:val="28"/>
          <w:szCs w:val="28"/>
          <w:u w:val="single"/>
          <w:lang w:val="en-US"/>
        </w:rPr>
      </w:pPr>
      <w:r>
        <w:rPr>
          <w:rFonts w:hint="eastAsia" w:ascii="宋体" w:hAnsi="宋体"/>
          <w:position w:val="-48"/>
          <w:sz w:val="28"/>
          <w:szCs w:val="28"/>
          <w:lang w:val="en-US" w:eastAsia="zh-CN"/>
        </w:rPr>
        <w:t xml:space="preserve">          </w:t>
      </w:r>
      <w:r>
        <w:rPr>
          <w:rFonts w:hint="eastAsia" w:ascii="宋体" w:hAnsi="宋体"/>
          <w:position w:val="-48"/>
          <w:sz w:val="28"/>
          <w:szCs w:val="28"/>
        </w:rPr>
        <w:t>项</w:t>
      </w:r>
      <w:r>
        <w:rPr>
          <w:rFonts w:hint="eastAsia" w:ascii="宋体" w:hAnsi="宋体"/>
          <w:position w:val="-48"/>
          <w:sz w:val="28"/>
          <w:szCs w:val="28"/>
          <w:lang w:val="en-US" w:eastAsia="zh-CN"/>
        </w:rPr>
        <w:t xml:space="preserve"> </w:t>
      </w:r>
      <w:r>
        <w:rPr>
          <w:rFonts w:hint="eastAsia" w:ascii="宋体" w:hAnsi="宋体"/>
          <w:position w:val="-48"/>
          <w:sz w:val="28"/>
          <w:szCs w:val="28"/>
        </w:rPr>
        <w:t>目</w:t>
      </w:r>
      <w:r>
        <w:rPr>
          <w:rFonts w:hint="eastAsia" w:ascii="宋体" w:hAnsi="宋体"/>
          <w:position w:val="-48"/>
          <w:sz w:val="28"/>
          <w:szCs w:val="28"/>
          <w:lang w:val="en-US" w:eastAsia="zh-CN"/>
        </w:rPr>
        <w:t xml:space="preserve"> </w:t>
      </w:r>
      <w:r>
        <w:rPr>
          <w:rFonts w:hint="eastAsia" w:ascii="宋体" w:hAnsi="宋体"/>
          <w:position w:val="-48"/>
          <w:sz w:val="28"/>
          <w:szCs w:val="28"/>
        </w:rPr>
        <w:t>名</w:t>
      </w:r>
      <w:r>
        <w:rPr>
          <w:rFonts w:hint="eastAsia" w:ascii="宋体" w:hAnsi="宋体"/>
          <w:position w:val="-48"/>
          <w:sz w:val="28"/>
          <w:szCs w:val="28"/>
          <w:lang w:val="en-US" w:eastAsia="zh-CN"/>
        </w:rPr>
        <w:t xml:space="preserve"> </w:t>
      </w:r>
      <w:r>
        <w:rPr>
          <w:rFonts w:hint="eastAsia" w:ascii="宋体" w:hAnsi="宋体"/>
          <w:position w:val="-48"/>
          <w:sz w:val="28"/>
          <w:szCs w:val="28"/>
        </w:rPr>
        <w:t>称：</w:t>
      </w:r>
      <w:r>
        <w:rPr>
          <w:rFonts w:hint="eastAsia"/>
          <w:position w:val="-48"/>
          <w:sz w:val="28"/>
          <w:szCs w:val="28"/>
          <w:u w:val="single"/>
          <w:lang w:val="en-US" w:eastAsia="zh-CN"/>
        </w:rPr>
        <w:t>庙山向阳农民还建新村新建临时专用箱变供电工程</w:t>
      </w:r>
    </w:p>
    <w:p>
      <w:pPr>
        <w:spacing w:line="360" w:lineRule="auto"/>
        <w:ind w:firstLine="560" w:firstLineChars="200"/>
        <w:jc w:val="left"/>
        <w:rPr>
          <w:rFonts w:hint="eastAsia" w:ascii="宋体" w:hAnsi="宋体" w:eastAsia="宋体"/>
          <w:sz w:val="28"/>
          <w:lang w:val="en-US" w:eastAsia="zh-CN"/>
        </w:rPr>
      </w:pPr>
      <w:r>
        <w:rPr>
          <w:rFonts w:hint="eastAsia"/>
          <w:sz w:val="28"/>
          <w:lang w:val="en-US" w:eastAsia="zh-CN"/>
        </w:rPr>
        <w:t xml:space="preserve"> </w:t>
      </w:r>
    </w:p>
    <w:p>
      <w:pPr>
        <w:spacing w:line="360" w:lineRule="auto"/>
        <w:ind w:firstLine="1400" w:firstLineChars="500"/>
        <w:jc w:val="left"/>
        <w:rPr>
          <w:rFonts w:ascii="宋体" w:hAnsi="宋体"/>
          <w:sz w:val="28"/>
        </w:rPr>
      </w:pPr>
      <w:r>
        <w:rPr>
          <w:rFonts w:hint="eastAsia" w:ascii="宋体" w:hAnsi="宋体"/>
          <w:sz w:val="28"/>
        </w:rPr>
        <w:t>招标人（盖章）</w:t>
      </w:r>
      <w:r>
        <w:rPr>
          <w:rFonts w:hint="eastAsia" w:ascii="宋体" w:hAnsi="宋体"/>
          <w:sz w:val="28"/>
          <w:u w:val="none"/>
        </w:rPr>
        <w:t>：</w:t>
      </w:r>
      <w:r>
        <w:rPr>
          <w:rFonts w:hint="eastAsia"/>
          <w:sz w:val="28"/>
          <w:u w:val="single"/>
          <w:lang w:val="en-US" w:eastAsia="zh-CN"/>
        </w:rPr>
        <w:t xml:space="preserve">      </w:t>
      </w:r>
      <w:r>
        <w:rPr>
          <w:rFonts w:hint="eastAsia"/>
          <w:sz w:val="28"/>
          <w:u w:val="single"/>
          <w:lang w:eastAsia="zh-CN"/>
        </w:rPr>
        <w:t>武汉江夏经济开发区管理委员会</w:t>
      </w:r>
      <w:r>
        <w:rPr>
          <w:rFonts w:hint="eastAsia"/>
          <w:sz w:val="28"/>
          <w:u w:val="single"/>
          <w:lang w:val="en-US" w:eastAsia="zh-CN"/>
        </w:rPr>
        <w:t xml:space="preserve">       </w:t>
      </w:r>
      <w:r>
        <w:rPr>
          <w:rFonts w:hint="eastAsia" w:ascii="宋体" w:hAnsi="宋体"/>
          <w:sz w:val="28"/>
        </w:rPr>
        <w:t xml:space="preserve">                                                                                                                  </w:t>
      </w:r>
    </w:p>
    <w:p>
      <w:pPr>
        <w:spacing w:line="360" w:lineRule="auto"/>
        <w:rPr>
          <w:rFonts w:ascii="宋体" w:hAnsi="宋体"/>
          <w:sz w:val="28"/>
          <w:u w:val="single"/>
        </w:rPr>
      </w:pPr>
      <w:r>
        <w:rPr>
          <w:rFonts w:hint="eastAsia" w:ascii="宋体" w:hAnsi="宋体"/>
          <w:sz w:val="28"/>
        </w:rPr>
        <w:t xml:space="preserve">    </w:t>
      </w:r>
      <w:r>
        <w:rPr>
          <w:rFonts w:hint="eastAsia" w:ascii="宋体" w:hAnsi="宋体"/>
          <w:sz w:val="28"/>
          <w:lang w:val="en-US" w:eastAsia="zh-CN"/>
        </w:rPr>
        <w:t xml:space="preserve">      </w:t>
      </w:r>
      <w:r>
        <w:rPr>
          <w:rFonts w:hint="eastAsia" w:ascii="宋体" w:hAnsi="宋体"/>
          <w:sz w:val="28"/>
        </w:rPr>
        <w:t>招标人联系人：</w:t>
      </w:r>
      <w:r>
        <w:rPr>
          <w:rFonts w:hint="eastAsia" w:ascii="宋体" w:hAnsi="宋体"/>
          <w:color w:val="auto"/>
          <w:sz w:val="28"/>
          <w:u w:val="single"/>
          <w:lang w:val="en-US" w:eastAsia="zh-CN"/>
        </w:rPr>
        <w:t xml:space="preserve">   </w:t>
      </w:r>
      <w:r>
        <w:rPr>
          <w:rFonts w:hint="eastAsia"/>
          <w:color w:val="auto"/>
          <w:sz w:val="28"/>
          <w:u w:val="single"/>
          <w:lang w:val="en-US" w:eastAsia="zh-CN"/>
        </w:rPr>
        <w:t xml:space="preserve"> </w:t>
      </w:r>
      <w:r>
        <w:rPr>
          <w:rFonts w:hint="eastAsia" w:ascii="宋体" w:hAnsi="宋体"/>
          <w:color w:val="auto"/>
          <w:sz w:val="28"/>
          <w:u w:val="single"/>
          <w:lang w:val="en-US" w:eastAsia="zh-CN"/>
        </w:rPr>
        <w:t xml:space="preserve"> </w:t>
      </w:r>
      <w:r>
        <w:rPr>
          <w:rFonts w:hint="eastAsia"/>
          <w:color w:val="auto"/>
          <w:sz w:val="28"/>
          <w:u w:val="single"/>
          <w:lang w:val="en-US" w:eastAsia="zh-CN"/>
        </w:rPr>
        <w:t>朱  文</w:t>
      </w:r>
      <w:r>
        <w:rPr>
          <w:rFonts w:hint="eastAsia" w:ascii="宋体" w:hAnsi="宋体"/>
          <w:color w:val="auto"/>
          <w:sz w:val="28"/>
          <w:u w:val="single"/>
          <w:lang w:val="en-US" w:eastAsia="zh-CN"/>
        </w:rPr>
        <w:t xml:space="preserve"> </w:t>
      </w:r>
      <w:r>
        <w:rPr>
          <w:rFonts w:hint="eastAsia" w:ascii="宋体" w:hAnsi="宋体"/>
          <w:color w:val="auto"/>
          <w:sz w:val="28"/>
          <w:u w:val="single"/>
        </w:rPr>
        <w:t xml:space="preserve">  </w:t>
      </w:r>
      <w:r>
        <w:rPr>
          <w:rFonts w:hint="eastAsia"/>
          <w:color w:val="auto"/>
          <w:sz w:val="28"/>
          <w:u w:val="single"/>
          <w:lang w:val="en-US" w:eastAsia="zh-CN"/>
        </w:rPr>
        <w:t xml:space="preserve">  </w:t>
      </w:r>
      <w:r>
        <w:rPr>
          <w:rFonts w:hint="eastAsia" w:ascii="宋体" w:hAnsi="宋体"/>
          <w:color w:val="auto"/>
          <w:sz w:val="28"/>
          <w:u w:val="single"/>
        </w:rPr>
        <w:t xml:space="preserve">  </w:t>
      </w:r>
      <w:r>
        <w:rPr>
          <w:rFonts w:hint="eastAsia" w:ascii="宋体" w:hAnsi="宋体"/>
          <w:color w:val="auto"/>
          <w:sz w:val="28"/>
        </w:rPr>
        <w:t>电</w:t>
      </w:r>
      <w:r>
        <w:rPr>
          <w:rFonts w:hint="eastAsia"/>
          <w:color w:val="auto"/>
          <w:sz w:val="28"/>
          <w:lang w:val="en-US" w:eastAsia="zh-CN"/>
        </w:rPr>
        <w:t xml:space="preserve"> </w:t>
      </w:r>
      <w:r>
        <w:rPr>
          <w:rFonts w:hint="eastAsia" w:ascii="宋体" w:hAnsi="宋体"/>
          <w:color w:val="auto"/>
          <w:sz w:val="28"/>
        </w:rPr>
        <w:t>话：</w:t>
      </w:r>
      <w:r>
        <w:rPr>
          <w:rFonts w:hint="eastAsia" w:ascii="宋体" w:hAnsi="宋体"/>
          <w:color w:val="auto"/>
          <w:sz w:val="28"/>
          <w:u w:val="single"/>
          <w:lang w:val="en-US" w:eastAsia="zh-CN"/>
        </w:rPr>
        <w:t xml:space="preserve"> </w:t>
      </w:r>
      <w:r>
        <w:rPr>
          <w:rFonts w:hint="eastAsia"/>
          <w:color w:val="auto"/>
          <w:sz w:val="28"/>
          <w:u w:val="single"/>
          <w:lang w:val="en-US" w:eastAsia="zh-CN"/>
        </w:rPr>
        <w:t xml:space="preserve"> </w:t>
      </w:r>
      <w:r>
        <w:rPr>
          <w:rFonts w:hint="eastAsia" w:ascii="宋体" w:hAnsi="宋体"/>
          <w:color w:val="auto"/>
          <w:sz w:val="28"/>
          <w:u w:val="single"/>
          <w:lang w:val="en-US" w:eastAsia="zh-CN"/>
        </w:rPr>
        <w:t xml:space="preserve"> </w:t>
      </w:r>
      <w:r>
        <w:rPr>
          <w:rFonts w:hint="eastAsia"/>
          <w:color w:val="auto"/>
          <w:sz w:val="28"/>
          <w:u w:val="single"/>
          <w:lang w:val="en-US" w:eastAsia="zh-CN"/>
        </w:rPr>
        <w:t>027-87992938</w:t>
      </w:r>
      <w:r>
        <w:rPr>
          <w:rFonts w:hint="eastAsia" w:ascii="宋体" w:hAnsi="宋体"/>
          <w:color w:val="auto"/>
          <w:sz w:val="28"/>
          <w:u w:val="single"/>
          <w:lang w:val="en-US" w:eastAsia="zh-CN"/>
        </w:rPr>
        <w:t xml:space="preserve">  </w:t>
      </w:r>
      <w:r>
        <w:rPr>
          <w:rFonts w:hint="eastAsia" w:ascii="宋体" w:hAnsi="宋体"/>
          <w:sz w:val="28"/>
          <w:u w:val="single"/>
        </w:rPr>
        <w:t xml:space="preserve"> </w:t>
      </w:r>
    </w:p>
    <w:p>
      <w:pPr>
        <w:spacing w:line="360" w:lineRule="auto"/>
        <w:ind w:firstLine="560" w:firstLineChars="200"/>
        <w:rPr>
          <w:rFonts w:hint="eastAsia" w:ascii="宋体" w:hAnsi="宋体"/>
          <w:sz w:val="28"/>
        </w:rPr>
      </w:pPr>
    </w:p>
    <w:p>
      <w:pPr>
        <w:spacing w:line="360" w:lineRule="auto"/>
        <w:ind w:firstLine="1400" w:firstLineChars="500"/>
        <w:rPr>
          <w:rFonts w:hint="default" w:ascii="宋体" w:hAnsi="宋体"/>
          <w:sz w:val="28"/>
          <w:u w:val="single"/>
          <w:lang w:val="en-US"/>
        </w:rPr>
      </w:pPr>
      <w:r>
        <w:rPr>
          <w:rFonts w:hint="eastAsia" w:ascii="宋体" w:hAnsi="宋体"/>
          <w:sz w:val="28"/>
        </w:rPr>
        <w:t>招标代理机构（盖章）：</w:t>
      </w:r>
      <w:r>
        <w:rPr>
          <w:rFonts w:hint="eastAsia" w:ascii="宋体" w:hAnsi="宋体"/>
          <w:sz w:val="28"/>
          <w:u w:val="single"/>
        </w:rPr>
        <w:t xml:space="preserve"> </w:t>
      </w:r>
      <w:r>
        <w:rPr>
          <w:rFonts w:hint="eastAsia"/>
          <w:sz w:val="28"/>
          <w:u w:val="single"/>
          <w:lang w:val="en-US" w:eastAsia="zh-CN"/>
        </w:rPr>
        <w:t xml:space="preserve"> </w:t>
      </w:r>
      <w:r>
        <w:rPr>
          <w:rFonts w:hint="eastAsia" w:ascii="宋体" w:hAnsi="宋体"/>
          <w:sz w:val="28"/>
          <w:u w:val="single"/>
          <w:lang w:eastAsia="zh-CN"/>
        </w:rPr>
        <w:t>湖北峰锐溪工程项目管理有限公司</w:t>
      </w:r>
      <w:r>
        <w:rPr>
          <w:rFonts w:hint="eastAsia"/>
          <w:sz w:val="28"/>
          <w:u w:val="single"/>
          <w:lang w:val="en-US" w:eastAsia="zh-CN"/>
        </w:rPr>
        <w:t xml:space="preserve">   </w:t>
      </w:r>
    </w:p>
    <w:p>
      <w:pPr>
        <w:spacing w:line="360" w:lineRule="auto"/>
        <w:ind w:firstLine="1400" w:firstLineChars="500"/>
        <w:jc w:val="left"/>
        <w:rPr>
          <w:rFonts w:hint="eastAsia" w:ascii="宋体" w:hAnsi="宋体" w:eastAsia="仿宋_GB2312"/>
          <w:sz w:val="28"/>
          <w:lang w:val="en-US" w:eastAsia="zh-CN"/>
        </w:rPr>
      </w:pPr>
      <w:r>
        <w:rPr>
          <w:rFonts w:hint="eastAsia" w:ascii="宋体" w:hAnsi="宋体"/>
          <w:sz w:val="28"/>
        </w:rPr>
        <w:t>招标代理机构联系人：</w:t>
      </w:r>
      <w:r>
        <w:rPr>
          <w:rFonts w:hint="eastAsia" w:ascii="宋体" w:hAnsi="宋体"/>
          <w:sz w:val="28"/>
          <w:u w:val="single"/>
          <w:lang w:val="en-US" w:eastAsia="zh-CN"/>
        </w:rPr>
        <w:t xml:space="preserve"> </w:t>
      </w:r>
      <w:r>
        <w:rPr>
          <w:rFonts w:hint="eastAsia"/>
          <w:sz w:val="28"/>
          <w:u w:val="single"/>
          <w:lang w:val="en-US" w:eastAsia="zh-CN"/>
        </w:rPr>
        <w:t xml:space="preserve"> 熊  工</w:t>
      </w:r>
      <w:r>
        <w:rPr>
          <w:rFonts w:hint="eastAsia" w:ascii="宋体" w:hAnsi="宋体"/>
          <w:sz w:val="28"/>
          <w:u w:val="single"/>
          <w:lang w:val="en-US" w:eastAsia="zh-CN"/>
        </w:rPr>
        <w:t xml:space="preserve"> </w:t>
      </w:r>
      <w:r>
        <w:rPr>
          <w:rFonts w:hint="eastAsia"/>
          <w:sz w:val="28"/>
          <w:u w:val="single"/>
          <w:lang w:val="en-US" w:eastAsia="zh-CN"/>
        </w:rPr>
        <w:t xml:space="preserve"> </w:t>
      </w:r>
      <w:r>
        <w:rPr>
          <w:rFonts w:hint="eastAsia" w:ascii="宋体" w:hAnsi="宋体"/>
          <w:sz w:val="28"/>
          <w:u w:val="single"/>
          <w:lang w:val="en-US" w:eastAsia="zh-CN"/>
        </w:rPr>
        <w:t xml:space="preserve"> </w:t>
      </w:r>
      <w:r>
        <w:rPr>
          <w:rFonts w:hint="eastAsia"/>
          <w:sz w:val="28"/>
          <w:u w:val="single"/>
          <w:lang w:val="en-US" w:eastAsia="zh-CN"/>
        </w:rPr>
        <w:t xml:space="preserve"> </w:t>
      </w:r>
      <w:r>
        <w:rPr>
          <w:rFonts w:hint="eastAsia" w:ascii="宋体" w:hAnsi="宋体"/>
          <w:sz w:val="28"/>
        </w:rPr>
        <w:t>电</w:t>
      </w:r>
      <w:r>
        <w:rPr>
          <w:rFonts w:hint="eastAsia"/>
          <w:sz w:val="28"/>
          <w:lang w:val="en-US" w:eastAsia="zh-CN"/>
        </w:rPr>
        <w:t xml:space="preserve"> </w:t>
      </w:r>
      <w:r>
        <w:rPr>
          <w:rFonts w:hint="eastAsia" w:ascii="宋体" w:hAnsi="宋体"/>
          <w:sz w:val="28"/>
        </w:rPr>
        <w:t>话</w:t>
      </w:r>
      <w:r>
        <w:rPr>
          <w:rFonts w:hint="eastAsia"/>
          <w:sz w:val="28"/>
          <w:lang w:eastAsia="zh-CN"/>
        </w:rPr>
        <w:t>：</w:t>
      </w:r>
      <w:r>
        <w:rPr>
          <w:rFonts w:hint="eastAsia" w:ascii="宋体" w:hAnsi="宋体"/>
          <w:sz w:val="28"/>
          <w:u w:val="single"/>
          <w:lang w:val="en-US" w:eastAsia="zh-CN"/>
        </w:rPr>
        <w:t xml:space="preserve"> </w:t>
      </w:r>
      <w:r>
        <w:rPr>
          <w:rFonts w:hint="eastAsia"/>
          <w:sz w:val="28"/>
          <w:u w:val="single"/>
          <w:lang w:val="en-US" w:eastAsia="zh-CN"/>
        </w:rPr>
        <w:t xml:space="preserve"> </w:t>
      </w:r>
      <w:r>
        <w:rPr>
          <w:rFonts w:hint="eastAsia" w:ascii="宋体" w:hAnsi="宋体"/>
          <w:sz w:val="28"/>
          <w:u w:val="single"/>
          <w:lang w:val="en-US" w:eastAsia="zh-CN"/>
        </w:rPr>
        <w:t xml:space="preserve"> </w:t>
      </w:r>
      <w:r>
        <w:rPr>
          <w:rFonts w:hint="eastAsia"/>
          <w:sz w:val="28"/>
          <w:u w:val="single"/>
          <w:lang w:val="en-US" w:eastAsia="zh-CN"/>
        </w:rPr>
        <w:t>15972168481</w:t>
      </w:r>
      <w:r>
        <w:rPr>
          <w:rFonts w:hint="eastAsia" w:ascii="宋体" w:hAnsi="宋体"/>
          <w:sz w:val="28"/>
          <w:u w:val="single"/>
        </w:rPr>
        <w:t xml:space="preserve"> </w:t>
      </w:r>
      <w:r>
        <w:rPr>
          <w:rFonts w:hint="eastAsia"/>
          <w:sz w:val="28"/>
          <w:u w:val="single"/>
          <w:lang w:val="en-US" w:eastAsia="zh-CN"/>
        </w:rPr>
        <w:t xml:space="preserve"> </w:t>
      </w:r>
      <w:r>
        <w:rPr>
          <w:rFonts w:hint="eastAsia" w:ascii="宋体" w:hAnsi="宋体"/>
          <w:sz w:val="28"/>
          <w:u w:val="single"/>
          <w:lang w:val="en-US" w:eastAsia="zh-CN"/>
        </w:rPr>
        <w:t xml:space="preserve">  </w:t>
      </w:r>
    </w:p>
    <w:p>
      <w:pPr>
        <w:spacing w:line="360" w:lineRule="auto"/>
        <w:ind w:firstLine="560" w:firstLineChars="200"/>
        <w:rPr>
          <w:rFonts w:hint="eastAsia" w:ascii="宋体" w:hAnsi="宋体"/>
          <w:sz w:val="28"/>
        </w:rPr>
      </w:pPr>
    </w:p>
    <w:p>
      <w:pPr>
        <w:spacing w:line="360" w:lineRule="auto"/>
        <w:ind w:firstLine="1400" w:firstLineChars="500"/>
        <w:rPr>
          <w:rFonts w:ascii="宋体" w:hAnsi="宋体"/>
          <w:sz w:val="28"/>
        </w:rPr>
      </w:pPr>
      <w:r>
        <w:rPr>
          <w:rFonts w:hint="eastAsia" w:ascii="宋体" w:hAnsi="宋体"/>
          <w:sz w:val="28"/>
        </w:rPr>
        <w:t>日    期：</w:t>
      </w:r>
      <w:r>
        <w:rPr>
          <w:rFonts w:hint="eastAsia" w:ascii="宋体" w:hAnsi="宋体"/>
          <w:sz w:val="28"/>
          <w:u w:val="single"/>
          <w:lang w:val="en-US" w:eastAsia="zh-CN"/>
        </w:rPr>
        <w:t xml:space="preserve"> </w:t>
      </w:r>
      <w:r>
        <w:rPr>
          <w:rFonts w:hint="eastAsia"/>
          <w:sz w:val="28"/>
          <w:u w:val="single"/>
          <w:lang w:val="en-US" w:eastAsia="zh-CN"/>
        </w:rPr>
        <w:t xml:space="preserve"> </w:t>
      </w:r>
      <w:r>
        <w:rPr>
          <w:rFonts w:hint="eastAsia" w:ascii="宋体" w:hAnsi="宋体"/>
          <w:sz w:val="28"/>
          <w:u w:val="single"/>
          <w:lang w:val="en-US" w:eastAsia="zh-CN"/>
        </w:rPr>
        <w:t xml:space="preserve"> 20</w:t>
      </w:r>
      <w:r>
        <w:rPr>
          <w:rFonts w:hint="eastAsia"/>
          <w:sz w:val="28"/>
          <w:u w:val="single"/>
          <w:lang w:val="en-US" w:eastAsia="zh-CN"/>
        </w:rPr>
        <w:t>20</w:t>
      </w:r>
      <w:r>
        <w:rPr>
          <w:rFonts w:hint="eastAsia" w:ascii="宋体" w:hAnsi="宋体"/>
          <w:sz w:val="28"/>
          <w:u w:val="single"/>
          <w:lang w:val="en-US" w:eastAsia="zh-CN"/>
        </w:rPr>
        <w:t xml:space="preserve"> </w:t>
      </w:r>
      <w:r>
        <w:rPr>
          <w:rFonts w:hint="eastAsia"/>
          <w:sz w:val="28"/>
          <w:u w:val="single"/>
          <w:lang w:val="en-US" w:eastAsia="zh-CN"/>
        </w:rPr>
        <w:t xml:space="preserve"> </w:t>
      </w:r>
      <w:r>
        <w:rPr>
          <w:rFonts w:hint="eastAsia" w:ascii="宋体" w:hAnsi="宋体"/>
          <w:sz w:val="28"/>
          <w:u w:val="single"/>
          <w:lang w:val="en-US" w:eastAsia="zh-CN"/>
        </w:rPr>
        <w:t xml:space="preserve"> </w:t>
      </w:r>
      <w:r>
        <w:rPr>
          <w:rFonts w:hint="eastAsia" w:ascii="宋体" w:hAnsi="宋体"/>
          <w:sz w:val="28"/>
        </w:rPr>
        <w:t xml:space="preserve"> 年</w:t>
      </w:r>
      <w:r>
        <w:rPr>
          <w:rFonts w:hint="eastAsia" w:ascii="宋体" w:hAnsi="宋体"/>
          <w:sz w:val="28"/>
          <w:u w:val="single"/>
          <w:lang w:val="en-US" w:eastAsia="zh-CN"/>
        </w:rPr>
        <w:t xml:space="preserve">  </w:t>
      </w:r>
      <w:r>
        <w:rPr>
          <w:rFonts w:hint="eastAsia"/>
          <w:sz w:val="28"/>
          <w:u w:val="single"/>
          <w:lang w:val="en-US" w:eastAsia="zh-CN"/>
        </w:rPr>
        <w:t xml:space="preserve"> </w:t>
      </w:r>
      <w:r>
        <w:rPr>
          <w:rFonts w:hint="eastAsia" w:ascii="宋体" w:hAnsi="宋体"/>
          <w:sz w:val="28"/>
          <w:u w:val="single"/>
          <w:lang w:val="en-US" w:eastAsia="zh-CN"/>
        </w:rPr>
        <w:t xml:space="preserve"> </w:t>
      </w:r>
      <w:r>
        <w:rPr>
          <w:rFonts w:hint="eastAsia"/>
          <w:sz w:val="28"/>
          <w:u w:val="single"/>
          <w:lang w:val="en-US" w:eastAsia="zh-CN"/>
        </w:rPr>
        <w:t xml:space="preserve">07  </w:t>
      </w:r>
      <w:r>
        <w:rPr>
          <w:rFonts w:hint="eastAsia" w:ascii="宋体" w:hAnsi="宋体"/>
          <w:sz w:val="28"/>
          <w:u w:val="single"/>
          <w:lang w:val="en-US" w:eastAsia="zh-CN"/>
        </w:rPr>
        <w:t xml:space="preserve">  </w:t>
      </w:r>
      <w:r>
        <w:rPr>
          <w:rFonts w:hint="eastAsia" w:ascii="宋体" w:hAnsi="宋体"/>
          <w:sz w:val="28"/>
        </w:rPr>
        <w:t>月</w:t>
      </w:r>
    </w:p>
    <w:p>
      <w:pPr>
        <w:tabs>
          <w:tab w:val="left" w:pos="1090"/>
        </w:tabs>
        <w:spacing w:before="48"/>
        <w:ind w:left="251" w:right="0" w:firstLine="0"/>
        <w:jc w:val="center"/>
        <w:rPr>
          <w:b/>
          <w:sz w:val="28"/>
        </w:rPr>
      </w:pPr>
    </w:p>
    <w:p>
      <w:pPr>
        <w:tabs>
          <w:tab w:val="left" w:pos="1090"/>
        </w:tabs>
        <w:spacing w:before="48"/>
        <w:ind w:left="251" w:right="0" w:firstLine="0"/>
        <w:jc w:val="center"/>
        <w:rPr>
          <w:b/>
          <w:sz w:val="28"/>
        </w:rPr>
      </w:pPr>
      <w:r>
        <w:rPr>
          <w:b/>
          <w:sz w:val="28"/>
        </w:rPr>
        <w:t>目</w:t>
      </w:r>
      <w:r>
        <w:rPr>
          <w:b/>
          <w:sz w:val="28"/>
        </w:rPr>
        <w:tab/>
      </w:r>
      <w:r>
        <w:rPr>
          <w:b/>
          <w:sz w:val="28"/>
        </w:rPr>
        <w:t>录</w:t>
      </w:r>
    </w:p>
    <w:p>
      <w:pPr>
        <w:spacing w:before="0" w:beforeLines="0" w:after="0" w:afterLines="0" w:line="240" w:lineRule="auto"/>
        <w:ind w:left="0" w:leftChars="0" w:right="0" w:rightChars="0" w:firstLine="0" w:firstLineChars="0"/>
        <w:jc w:val="center"/>
        <w:rPr>
          <w:rFonts w:hint="eastAsia" w:asciiTheme="majorEastAsia" w:hAnsiTheme="majorEastAsia" w:eastAsiaTheme="majorEastAsia" w:cstheme="majorEastAsia"/>
          <w:sz w:val="28"/>
          <w:szCs w:val="28"/>
        </w:rPr>
      </w:pPr>
    </w:p>
    <w:p>
      <w:pPr>
        <w:pStyle w:val="21"/>
        <w:tabs>
          <w:tab w:val="right" w:leader="dot" w:pos="9312"/>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_Toc11635_WPSOffice_Level1 </w:instrText>
      </w:r>
      <w:r>
        <w:rPr>
          <w:rFonts w:hint="eastAsia" w:asciiTheme="majorEastAsia" w:hAnsiTheme="majorEastAsia" w:eastAsiaTheme="majorEastAsia" w:cstheme="majorEastAsia"/>
          <w:sz w:val="28"/>
          <w:szCs w:val="28"/>
        </w:rPr>
        <w:fldChar w:fldCharType="separate"/>
      </w:r>
      <w:sdt>
        <w:sdtPr>
          <w:rPr>
            <w:rFonts w:hint="eastAsia" w:asciiTheme="majorEastAsia" w:hAnsiTheme="majorEastAsia" w:eastAsiaTheme="majorEastAsia" w:cstheme="majorEastAsia"/>
            <w:kern w:val="2"/>
            <w:sz w:val="28"/>
            <w:szCs w:val="28"/>
            <w:lang w:val="en-US" w:eastAsia="zh-CN" w:bidi="ar-SA"/>
          </w:rPr>
          <w:id w:val="147466739"/>
          <w:placeholder>
            <w:docPart w:val="{41389929-7ee3-488e-8e19-4ed4a15e1c41}"/>
          </w:placeholder>
          <w15:color w:val="509DF3"/>
        </w:sdtPr>
        <w:sdtEndPr>
          <w:rPr>
            <w:rFonts w:hint="eastAsia" w:asciiTheme="majorEastAsia" w:hAnsiTheme="majorEastAsia" w:eastAsiaTheme="majorEastAsia" w:cstheme="majorEastAsia"/>
            <w:kern w:val="2"/>
            <w:sz w:val="28"/>
            <w:szCs w:val="28"/>
            <w:lang w:val="en-US" w:eastAsia="zh-CN" w:bidi="ar-SA"/>
          </w:rPr>
        </w:sdtEndPr>
        <w:sdtContent>
          <w:r>
            <w:rPr>
              <w:rFonts w:hint="eastAsia" w:asciiTheme="majorEastAsia" w:hAnsiTheme="majorEastAsia" w:eastAsiaTheme="majorEastAsia" w:cstheme="majorEastAsia"/>
              <w:sz w:val="28"/>
              <w:szCs w:val="28"/>
            </w:rPr>
            <w:t>第一章 、磋商邀请函</w:t>
          </w:r>
        </w:sdtContent>
      </w:sdt>
      <w:r>
        <w:rPr>
          <w:rFonts w:hint="eastAsia" w:asciiTheme="majorEastAsia" w:hAnsiTheme="majorEastAsia" w:eastAsiaTheme="majorEastAsia" w:cstheme="majorEastAsia"/>
          <w:sz w:val="28"/>
          <w:szCs w:val="28"/>
        </w:rPr>
        <w:fldChar w:fldCharType="end"/>
      </w:r>
    </w:p>
    <w:p>
      <w:pPr>
        <w:pStyle w:val="21"/>
        <w:tabs>
          <w:tab w:val="right" w:leader="dot" w:pos="9312"/>
        </w:tabs>
        <w:rPr>
          <w:rFonts w:hint="eastAsia" w:asciiTheme="majorEastAsia" w:hAnsiTheme="majorEastAsia" w:eastAsiaTheme="majorEastAsia" w:cstheme="majorEastAsia"/>
          <w:sz w:val="28"/>
          <w:szCs w:val="28"/>
        </w:rPr>
      </w:pPr>
    </w:p>
    <w:p>
      <w:pPr>
        <w:pStyle w:val="21"/>
        <w:tabs>
          <w:tab w:val="right" w:leader="dot" w:pos="9312"/>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_Toc10208_WPSOffice_Level1 </w:instrText>
      </w:r>
      <w:r>
        <w:rPr>
          <w:rFonts w:hint="eastAsia" w:asciiTheme="majorEastAsia" w:hAnsiTheme="majorEastAsia" w:eastAsiaTheme="majorEastAsia" w:cstheme="majorEastAsia"/>
          <w:sz w:val="28"/>
          <w:szCs w:val="28"/>
        </w:rPr>
        <w:fldChar w:fldCharType="separate"/>
      </w:r>
      <w:sdt>
        <w:sdtPr>
          <w:rPr>
            <w:rFonts w:hint="eastAsia" w:asciiTheme="majorEastAsia" w:hAnsiTheme="majorEastAsia" w:eastAsiaTheme="majorEastAsia" w:cstheme="majorEastAsia"/>
            <w:kern w:val="2"/>
            <w:sz w:val="28"/>
            <w:szCs w:val="28"/>
            <w:lang w:val="en-US" w:eastAsia="zh-CN" w:bidi="ar-SA"/>
          </w:rPr>
          <w:id w:val="147466739"/>
          <w:placeholder>
            <w:docPart w:val="{b0fa2b58-c780-476c-9430-aacc4a7d1d32}"/>
          </w:placeholder>
          <w15:color w:val="509DF3"/>
        </w:sdtPr>
        <w:sdtEndPr>
          <w:rPr>
            <w:rFonts w:hint="eastAsia" w:asciiTheme="majorEastAsia" w:hAnsiTheme="majorEastAsia" w:eastAsiaTheme="majorEastAsia" w:cstheme="majorEastAsia"/>
            <w:kern w:val="2"/>
            <w:sz w:val="28"/>
            <w:szCs w:val="28"/>
            <w:lang w:val="en-US" w:eastAsia="zh-CN" w:bidi="ar-SA"/>
          </w:rPr>
        </w:sdtEndPr>
        <w:sdtContent>
          <w:r>
            <w:rPr>
              <w:rFonts w:hint="eastAsia" w:asciiTheme="majorEastAsia" w:hAnsiTheme="majorEastAsia" w:eastAsiaTheme="majorEastAsia" w:cstheme="majorEastAsia"/>
              <w:sz w:val="28"/>
              <w:szCs w:val="28"/>
            </w:rPr>
            <w:t>第二章 、磋商须知</w:t>
          </w:r>
        </w:sdtContent>
      </w:sdt>
      <w:r>
        <w:rPr>
          <w:rFonts w:hint="eastAsia" w:asciiTheme="majorEastAsia" w:hAnsiTheme="majorEastAsia" w:eastAsiaTheme="majorEastAsia" w:cstheme="majorEastAsia"/>
          <w:sz w:val="28"/>
          <w:szCs w:val="28"/>
        </w:rPr>
        <w:fldChar w:fldCharType="end"/>
      </w:r>
    </w:p>
    <w:p>
      <w:pPr>
        <w:pStyle w:val="21"/>
        <w:tabs>
          <w:tab w:val="right" w:leader="dot" w:pos="9312"/>
        </w:tabs>
        <w:rPr>
          <w:rFonts w:hint="eastAsia" w:asciiTheme="majorEastAsia" w:hAnsiTheme="majorEastAsia" w:eastAsiaTheme="majorEastAsia" w:cstheme="majorEastAsia"/>
          <w:sz w:val="28"/>
          <w:szCs w:val="28"/>
        </w:rPr>
      </w:pPr>
    </w:p>
    <w:p>
      <w:pPr>
        <w:pStyle w:val="21"/>
        <w:tabs>
          <w:tab w:val="right" w:leader="dot" w:pos="9312"/>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_Toc32601_WPSOffice_Level1 </w:instrText>
      </w:r>
      <w:r>
        <w:rPr>
          <w:rFonts w:hint="eastAsia" w:asciiTheme="majorEastAsia" w:hAnsiTheme="majorEastAsia" w:eastAsiaTheme="majorEastAsia" w:cstheme="majorEastAsia"/>
          <w:sz w:val="28"/>
          <w:szCs w:val="28"/>
        </w:rPr>
        <w:fldChar w:fldCharType="separate"/>
      </w:r>
      <w:sdt>
        <w:sdtPr>
          <w:rPr>
            <w:rFonts w:hint="eastAsia" w:asciiTheme="majorEastAsia" w:hAnsiTheme="majorEastAsia" w:eastAsiaTheme="majorEastAsia" w:cstheme="majorEastAsia"/>
            <w:sz w:val="28"/>
            <w:szCs w:val="28"/>
            <w:lang w:val="en-US" w:eastAsia="zh-CN"/>
          </w:rPr>
          <w:id w:val="147466739"/>
          <w:placeholder>
            <w:docPart w:val="{84166403-4a97-44c9-89fe-d63d9283c086}"/>
          </w:placeholder>
          <w15:color w:val="509DF3"/>
        </w:sdtPr>
        <w:sdtEndPr>
          <w:rPr>
            <w:rFonts w:hint="eastAsia" w:asciiTheme="majorEastAsia" w:hAnsiTheme="majorEastAsia" w:eastAsiaTheme="majorEastAsia" w:cstheme="majorEastAsia"/>
            <w:sz w:val="28"/>
            <w:szCs w:val="28"/>
            <w:lang w:val="en-US" w:eastAsia="zh-CN"/>
          </w:rPr>
        </w:sdtEndPr>
        <w:sdtContent>
          <w:r>
            <w:rPr>
              <w:rFonts w:hint="eastAsia" w:asciiTheme="majorEastAsia" w:hAnsiTheme="majorEastAsia" w:eastAsiaTheme="majorEastAsia" w:cstheme="majorEastAsia"/>
              <w:sz w:val="28"/>
              <w:szCs w:val="28"/>
            </w:rPr>
            <w:t>第三章</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、合同书（仅供参考）</w:t>
          </w:r>
        </w:sdtContent>
      </w:sdt>
      <w:r>
        <w:rPr>
          <w:rFonts w:hint="eastAsia" w:asciiTheme="majorEastAsia" w:hAnsiTheme="majorEastAsia" w:eastAsiaTheme="majorEastAsia" w:cstheme="majorEastAsia"/>
          <w:sz w:val="28"/>
          <w:szCs w:val="28"/>
        </w:rPr>
        <w:fldChar w:fldCharType="end"/>
      </w:r>
    </w:p>
    <w:p>
      <w:pPr>
        <w:pStyle w:val="21"/>
        <w:tabs>
          <w:tab w:val="right" w:leader="dot" w:pos="9312"/>
        </w:tabs>
        <w:rPr>
          <w:rFonts w:hint="eastAsia" w:asciiTheme="majorEastAsia" w:hAnsiTheme="majorEastAsia" w:eastAsiaTheme="majorEastAsia" w:cstheme="majorEastAsia"/>
          <w:sz w:val="28"/>
          <w:szCs w:val="28"/>
        </w:rPr>
      </w:pPr>
    </w:p>
    <w:p>
      <w:pPr>
        <w:pStyle w:val="21"/>
        <w:tabs>
          <w:tab w:val="right" w:leader="dot" w:pos="9312"/>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_Toc16453_WPSOffice_Level1 </w:instrText>
      </w:r>
      <w:r>
        <w:rPr>
          <w:rFonts w:hint="eastAsia" w:asciiTheme="majorEastAsia" w:hAnsiTheme="majorEastAsia" w:eastAsiaTheme="majorEastAsia" w:cstheme="majorEastAsia"/>
          <w:sz w:val="28"/>
          <w:szCs w:val="28"/>
        </w:rPr>
        <w:fldChar w:fldCharType="separate"/>
      </w:r>
      <w:sdt>
        <w:sdtPr>
          <w:rPr>
            <w:rFonts w:hint="eastAsia" w:asciiTheme="majorEastAsia" w:hAnsiTheme="majorEastAsia" w:eastAsiaTheme="majorEastAsia" w:cstheme="majorEastAsia"/>
            <w:sz w:val="28"/>
            <w:szCs w:val="28"/>
            <w:lang w:val="en-US" w:eastAsia="zh-CN"/>
          </w:rPr>
          <w:id w:val="147466739"/>
          <w:placeholder>
            <w:docPart w:val="{2a3fb5d7-0d71-4457-8444-1d8f208a678b}"/>
          </w:placeholder>
          <w15:color w:val="509DF3"/>
        </w:sdtPr>
        <w:sdtEndPr>
          <w:rPr>
            <w:rFonts w:hint="eastAsia" w:asciiTheme="majorEastAsia" w:hAnsiTheme="majorEastAsia" w:eastAsiaTheme="majorEastAsia" w:cstheme="majorEastAsia"/>
            <w:sz w:val="28"/>
            <w:szCs w:val="28"/>
            <w:lang w:val="en-US" w:eastAsia="zh-CN"/>
          </w:rPr>
        </w:sdtEndPr>
        <w:sdtContent>
          <w:r>
            <w:rPr>
              <w:rFonts w:hint="eastAsia" w:asciiTheme="majorEastAsia" w:hAnsiTheme="majorEastAsia" w:eastAsiaTheme="majorEastAsia" w:cstheme="majorEastAsia"/>
              <w:sz w:val="28"/>
              <w:szCs w:val="28"/>
            </w:rPr>
            <w:t>第四章</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、竞争性磋商响应文件格式</w:t>
          </w:r>
        </w:sdtContent>
      </w:sdt>
      <w:r>
        <w:rPr>
          <w:rFonts w:hint="eastAsia" w:asciiTheme="majorEastAsia" w:hAnsiTheme="majorEastAsia" w:eastAsiaTheme="majorEastAsia" w:cstheme="majorEastAsia"/>
          <w:sz w:val="28"/>
          <w:szCs w:val="28"/>
        </w:rPr>
        <w:fldChar w:fldCharType="end"/>
      </w:r>
    </w:p>
    <w:p>
      <w:pPr>
        <w:pStyle w:val="21"/>
        <w:tabs>
          <w:tab w:val="right" w:leader="dot" w:pos="9312"/>
        </w:tabs>
        <w:rPr>
          <w:rFonts w:hint="eastAsia" w:asciiTheme="majorEastAsia" w:hAnsiTheme="majorEastAsia" w:eastAsiaTheme="majorEastAsia" w:cstheme="majorEastAsia"/>
          <w:sz w:val="28"/>
          <w:szCs w:val="28"/>
        </w:rPr>
      </w:pPr>
    </w:p>
    <w:p>
      <w:pPr>
        <w:pStyle w:val="21"/>
        <w:tabs>
          <w:tab w:val="right" w:leader="dot" w:pos="9312"/>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_Toc16619_WPSOffice_Level1 </w:instrText>
      </w:r>
      <w:r>
        <w:rPr>
          <w:rFonts w:hint="eastAsia" w:asciiTheme="majorEastAsia" w:hAnsiTheme="majorEastAsia" w:eastAsiaTheme="majorEastAsia" w:cstheme="majorEastAsia"/>
          <w:sz w:val="28"/>
          <w:szCs w:val="28"/>
        </w:rPr>
        <w:fldChar w:fldCharType="separate"/>
      </w:r>
      <w:sdt>
        <w:sdtPr>
          <w:rPr>
            <w:rFonts w:hint="eastAsia" w:asciiTheme="majorEastAsia" w:hAnsiTheme="majorEastAsia" w:eastAsiaTheme="majorEastAsia" w:cstheme="majorEastAsia"/>
            <w:sz w:val="28"/>
            <w:szCs w:val="28"/>
            <w:lang w:val="en-US" w:eastAsia="zh-CN"/>
          </w:rPr>
          <w:id w:val="147466739"/>
          <w:placeholder>
            <w:docPart w:val="{2cc022d1-ebc4-4519-b9ce-5167e0d7c613}"/>
          </w:placeholder>
          <w15:color w:val="509DF3"/>
        </w:sdtPr>
        <w:sdtEndPr>
          <w:rPr>
            <w:rFonts w:hint="eastAsia" w:asciiTheme="majorEastAsia" w:hAnsiTheme="majorEastAsia" w:eastAsiaTheme="majorEastAsia" w:cstheme="majorEastAsia"/>
            <w:sz w:val="28"/>
            <w:szCs w:val="28"/>
            <w:lang w:val="en-US" w:eastAsia="zh-CN"/>
          </w:rPr>
        </w:sdtEndPr>
        <w:sdtContent>
          <w:r>
            <w:rPr>
              <w:rFonts w:hint="eastAsia" w:asciiTheme="majorEastAsia" w:hAnsiTheme="majorEastAsia" w:eastAsiaTheme="majorEastAsia" w:cstheme="majorEastAsia"/>
              <w:sz w:val="28"/>
              <w:szCs w:val="28"/>
            </w:rPr>
            <w:t>第五章</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评分标准</w:t>
          </w:r>
        </w:sdtContent>
      </w:sdt>
      <w:r>
        <w:rPr>
          <w:rFonts w:hint="eastAsia" w:asciiTheme="majorEastAsia" w:hAnsiTheme="majorEastAsia" w:eastAsiaTheme="majorEastAsia" w:cstheme="majorEastAsia"/>
          <w:sz w:val="28"/>
          <w:szCs w:val="28"/>
        </w:rPr>
        <w:fldChar w:fldCharType="end"/>
      </w:r>
    </w:p>
    <w:p>
      <w:pPr>
        <w:pStyle w:val="21"/>
        <w:tabs>
          <w:tab w:val="right" w:leader="dot" w:pos="9312"/>
        </w:tabs>
        <w:rPr>
          <w:rFonts w:hint="eastAsia" w:asciiTheme="majorEastAsia" w:hAnsiTheme="majorEastAsia" w:eastAsiaTheme="majorEastAsia" w:cstheme="majorEastAsia"/>
          <w:sz w:val="28"/>
          <w:szCs w:val="28"/>
        </w:rPr>
      </w:pPr>
    </w:p>
    <w:p>
      <w:pPr>
        <w:pStyle w:val="21"/>
        <w:tabs>
          <w:tab w:val="right" w:leader="dot" w:pos="9312"/>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HYPERLINK \l _Toc26732_WPSOffice_Level1 </w:instrText>
      </w:r>
      <w:r>
        <w:rPr>
          <w:rFonts w:hint="eastAsia" w:asciiTheme="majorEastAsia" w:hAnsiTheme="majorEastAsia" w:eastAsiaTheme="majorEastAsia" w:cstheme="majorEastAsia"/>
          <w:sz w:val="28"/>
          <w:szCs w:val="28"/>
        </w:rPr>
        <w:fldChar w:fldCharType="separate"/>
      </w:r>
      <w:sdt>
        <w:sdtPr>
          <w:rPr>
            <w:rFonts w:hint="eastAsia" w:asciiTheme="majorEastAsia" w:hAnsiTheme="majorEastAsia" w:eastAsiaTheme="majorEastAsia" w:cstheme="majorEastAsia"/>
            <w:sz w:val="28"/>
            <w:szCs w:val="28"/>
            <w:lang w:val="en-US" w:eastAsia="zh-CN"/>
          </w:rPr>
          <w:id w:val="147466739"/>
          <w:placeholder>
            <w:docPart w:val="{f6985e26-98bc-4de5-b3e4-626178f79d7f}"/>
          </w:placeholder>
          <w15:color w:val="509DF3"/>
        </w:sdtPr>
        <w:sdtEndPr>
          <w:rPr>
            <w:rFonts w:hint="eastAsia" w:asciiTheme="majorEastAsia" w:hAnsiTheme="majorEastAsia" w:eastAsiaTheme="majorEastAsia" w:cstheme="majorEastAsia"/>
            <w:sz w:val="28"/>
            <w:szCs w:val="28"/>
            <w:lang w:val="en-US" w:eastAsia="zh-CN"/>
          </w:rPr>
        </w:sdtEndPr>
        <w:sdtContent>
          <w:r>
            <w:rPr>
              <w:rFonts w:hint="eastAsia" w:asciiTheme="majorEastAsia" w:hAnsiTheme="majorEastAsia" w:eastAsiaTheme="majorEastAsia" w:cstheme="majorEastAsia"/>
              <w:sz w:val="28"/>
              <w:szCs w:val="28"/>
            </w:rPr>
            <w:t>附件一：</w:t>
          </w:r>
        </w:sdtContent>
      </w:sdt>
      <w:r>
        <w:rPr>
          <w:rFonts w:hint="eastAsia" w:asciiTheme="majorEastAsia" w:hAnsiTheme="majorEastAsia" w:eastAsiaTheme="majorEastAsia" w:cstheme="majorEastAsia"/>
          <w:sz w:val="28"/>
          <w:szCs w:val="28"/>
          <w:lang w:val="en-US" w:eastAsia="zh-CN"/>
        </w:rPr>
        <w:t>工程量</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清单</w: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spacing w:after="0"/>
        <w:jc w:val="center"/>
        <w:rPr>
          <w:rFonts w:ascii="Times New Roman"/>
          <w:sz w:val="18"/>
        </w:rPr>
        <w:sectPr>
          <w:type w:val="continuous"/>
          <w:pgSz w:w="11910" w:h="16840"/>
          <w:pgMar w:top="1440" w:right="850" w:bottom="1440" w:left="1080" w:header="720" w:footer="720" w:gutter="0"/>
        </w:sectPr>
      </w:pPr>
    </w:p>
    <w:p>
      <w:pPr>
        <w:keepNext w:val="0"/>
        <w:keepLines w:val="0"/>
        <w:pageBreakBefore w:val="0"/>
        <w:kinsoku/>
        <w:wordWrap/>
        <w:overflowPunct/>
        <w:topLinePunct w:val="0"/>
        <w:bidi w:val="0"/>
        <w:adjustRightInd/>
        <w:snapToGrid/>
        <w:spacing w:before="37" w:line="384" w:lineRule="auto"/>
        <w:ind w:right="0" w:firstLine="241" w:firstLineChars="100"/>
        <w:jc w:val="center"/>
        <w:textAlignment w:val="auto"/>
        <w:rPr>
          <w:rFonts w:hint="eastAsia"/>
          <w:b/>
          <w:bCs/>
          <w:color w:val="auto"/>
          <w:sz w:val="24"/>
          <w:szCs w:val="24"/>
          <w:lang w:eastAsia="zh-CN"/>
        </w:rPr>
      </w:pPr>
      <w:r>
        <w:rPr>
          <w:rFonts w:hint="eastAsia"/>
          <w:b/>
          <w:bCs/>
          <w:color w:val="auto"/>
          <w:sz w:val="24"/>
          <w:szCs w:val="24"/>
          <w:lang w:val="en-US" w:eastAsia="zh-CN"/>
        </w:rPr>
        <w:t>第一章  磋商</w:t>
      </w:r>
      <w:r>
        <w:rPr>
          <w:b/>
          <w:bCs/>
          <w:color w:val="auto"/>
          <w:sz w:val="24"/>
          <w:szCs w:val="24"/>
        </w:rPr>
        <w:t>邀</w:t>
      </w:r>
      <w:r>
        <w:rPr>
          <w:rFonts w:hint="eastAsia"/>
          <w:b/>
          <w:bCs/>
          <w:color w:val="auto"/>
          <w:sz w:val="24"/>
          <w:szCs w:val="24"/>
          <w:lang w:val="en-US" w:eastAsia="zh-CN"/>
        </w:rPr>
        <w:t>请函</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6"/>
        <w:jc w:val="center"/>
        <w:textAlignment w:val="auto"/>
        <w:rPr>
          <w:sz w:val="24"/>
          <w:szCs w:val="24"/>
        </w:rPr>
      </w:pPr>
      <w:bookmarkStart w:id="0" w:name="_Toc10208_WPSOffice_Level1"/>
      <w:bookmarkStart w:id="1" w:name="_Toc19340"/>
      <w:bookmarkStart w:id="2" w:name="_Toc7999"/>
      <w:r>
        <w:rPr>
          <w:rFonts w:hint="eastAsia" w:ascii="Segoe UI" w:hAnsi="Segoe UI" w:eastAsia="Segoe UI" w:cs="Segoe UI"/>
          <w:b/>
          <w:color w:val="333333"/>
          <w:kern w:val="0"/>
          <w:sz w:val="24"/>
          <w:szCs w:val="24"/>
          <w:lang w:val="en-US" w:eastAsia="zh-CN" w:bidi="ar"/>
        </w:rPr>
        <w:t>庙山向阳农民还建新村新建临时专用箱变供电工程</w:t>
      </w:r>
      <w:r>
        <w:rPr>
          <w:rFonts w:hint="default" w:ascii="Segoe UI" w:hAnsi="Segoe UI" w:eastAsia="Segoe UI" w:cs="Segoe UI"/>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6"/>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竞争性磋商公告</w:t>
      </w:r>
      <w:r>
        <w:rPr>
          <w:rFonts w:hint="eastAsia" w:asciiTheme="minorEastAsia" w:hAnsiTheme="minorEastAsia" w:eastAsiaTheme="minorEastAsia" w:cstheme="minorEastAsia"/>
          <w:color w:val="333333"/>
          <w:kern w:val="0"/>
          <w:sz w:val="24"/>
          <w:szCs w:val="24"/>
          <w:lang w:val="en-US" w:eastAsia="zh-CN" w:bidi="ar"/>
        </w:rPr>
        <w:t xml:space="preserve"> </w:t>
      </w:r>
    </w:p>
    <w:tbl>
      <w:tblPr>
        <w:tblStyle w:val="1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57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000" w:type="pct"/>
            <w:tcBorders>
              <w:top w:val="single" w:color="auto" w:sz="8" w:space="0"/>
              <w:left w:val="single" w:color="auto" w:sz="8" w:space="0"/>
              <w:bottom w:val="single" w:color="auto" w:sz="8" w:space="0"/>
              <w:right w:val="single" w:color="auto" w:sz="8" w:space="0"/>
            </w:tcBorders>
            <w:noWrap w:val="0"/>
            <w:tcMar>
              <w:top w:w="0" w:type="dxa"/>
              <w:left w:w="0" w:type="dxa"/>
              <w:bottom w:w="0" w:type="dxa"/>
              <w:right w:w="0" w:type="dxa"/>
            </w:tcMar>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项目概况：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w:t>
            </w:r>
            <w:r>
              <w:rPr>
                <w:rFonts w:hint="eastAsia" w:asciiTheme="minorEastAsia" w:hAnsiTheme="minorEastAsia" w:eastAsiaTheme="minorEastAsia" w:cstheme="minorEastAsia"/>
                <w:color w:val="333333"/>
                <w:kern w:val="0"/>
                <w:sz w:val="24"/>
                <w:szCs w:val="24"/>
                <w:u w:val="single"/>
                <w:lang w:val="en-US" w:eastAsia="zh-CN" w:bidi="ar"/>
              </w:rPr>
              <w:t>(庙山向阳农民还建新村新建临时专用箱变供电工程)</w:t>
            </w:r>
            <w:r>
              <w:rPr>
                <w:rFonts w:hint="eastAsia" w:asciiTheme="minorEastAsia" w:hAnsiTheme="minorEastAsia" w:eastAsiaTheme="minorEastAsia" w:cstheme="minorEastAsia"/>
                <w:color w:val="333333"/>
                <w:kern w:val="0"/>
                <w:sz w:val="24"/>
                <w:szCs w:val="24"/>
                <w:lang w:val="en-US" w:eastAsia="zh-CN" w:bidi="ar"/>
              </w:rPr>
              <w:t> 采购项目的潜在投标人应在</w:t>
            </w:r>
            <w:r>
              <w:rPr>
                <w:rFonts w:hint="eastAsia" w:asciiTheme="minorEastAsia" w:hAnsiTheme="minorEastAsia" w:eastAsiaTheme="minorEastAsia" w:cstheme="minorEastAsia"/>
                <w:color w:val="333333"/>
                <w:kern w:val="0"/>
                <w:sz w:val="24"/>
                <w:szCs w:val="24"/>
                <w:u w:val="single"/>
                <w:lang w:val="en-US" w:eastAsia="zh-CN" w:bidi="ar"/>
              </w:rPr>
              <w:t>湖北峰锐溪工程项目管理有限公司（江夏区联投广场商业区一期23栋802室）</w:t>
            </w:r>
            <w:r>
              <w:rPr>
                <w:rFonts w:hint="eastAsia" w:asciiTheme="minorEastAsia" w:hAnsiTheme="minorEastAsia" w:eastAsiaTheme="minorEastAsia" w:cstheme="minorEastAsia"/>
                <w:color w:val="333333"/>
                <w:kern w:val="0"/>
                <w:sz w:val="24"/>
                <w:szCs w:val="24"/>
                <w:lang w:val="en-US" w:eastAsia="zh-CN" w:bidi="ar"/>
              </w:rPr>
              <w:t>获取采购文件，并于</w:t>
            </w:r>
            <w:r>
              <w:rPr>
                <w:rFonts w:hint="eastAsia" w:asciiTheme="minorEastAsia" w:hAnsiTheme="minorEastAsia" w:eastAsiaTheme="minorEastAsia" w:cstheme="minorEastAsia"/>
                <w:color w:val="333333"/>
                <w:kern w:val="0"/>
                <w:sz w:val="24"/>
                <w:szCs w:val="24"/>
                <w:u w:val="single"/>
                <w:lang w:val="en-US" w:eastAsia="zh-CN" w:bidi="ar"/>
              </w:rPr>
              <w:t>2020年07月21日17点 00分</w:t>
            </w:r>
            <w:r>
              <w:rPr>
                <w:rFonts w:hint="eastAsia" w:asciiTheme="minorEastAsia" w:hAnsiTheme="minorEastAsia" w:eastAsiaTheme="minorEastAsia" w:cstheme="minorEastAsia"/>
                <w:color w:val="333333"/>
                <w:kern w:val="0"/>
                <w:sz w:val="24"/>
                <w:szCs w:val="24"/>
                <w:lang w:val="en-US" w:eastAsia="zh-CN" w:bidi="ar"/>
              </w:rPr>
              <w:t xml:space="preserve">（北京时间）前提交报名响应文件。 </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right="-226"/>
        <w:jc w:val="left"/>
        <w:textAlignment w:val="auto"/>
        <w:rPr>
          <w:rFonts w:hint="eastAsia" w:asciiTheme="minorEastAsia" w:hAnsiTheme="minorEastAsia" w:eastAsiaTheme="minorEastAsia" w:cstheme="minorEastAsia"/>
          <w:sz w:val="24"/>
          <w:szCs w:val="24"/>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一、项目基本情况：</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项目编号：HBFRX-GC-[2020]00356</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 xml:space="preserve">项目名称：庙山向阳农民还建新村新建临时专用箱变供电工程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 xml:space="preserve">政府采购计划执行确认书编号：夏财采计[2020]00356号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采购方式：竞争性磋商</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预算金额：113.1510367万元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最高限价：113.1510367万元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 xml:space="preserve">采购需求：详见工程量清单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工期：60日历天</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7" w:right="-227" w:firstLine="561"/>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本项目不接受联合体</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二、申请人的资格要求：</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right="-227"/>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 xml:space="preserve">投标人必须符合《中华人民共和国政府采购法》第二十二条的规定要求，且满足以下条件：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150" w:afterAutospacing="0" w:line="384" w:lineRule="auto"/>
        <w:ind w:right="-227"/>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投标人应是在中国工商管理机关注册登记取得营业执照，能独立承担民事责任的经济实体；</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2、投标人须具有行政主管部门核发的电力工程施工总承包叁级；具有合格有效的安全生产许可证；具有承装（试、修）施工许可证四级及以上的资质；</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3、投标人拟派项目经理须具备机电工程贰级及以上建造师资格，提供资格证书、注册证书、学历证、身份证、职称证、建造师安全生产考核证、劳动合同、近六个月社保证明（以社保局出具的为准，同时需提供社保账号、登陆密码）。</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4、投标人拟派技术负责人及项目班子人员（五大员）须提供上岗证、职称证、学历证、身份证、劳动合同、近六个月社保证明（以社保局出具的为准，同时需提供社保账号、登陆密码）等原件备查，其中安全员另需提供安全生产考核C证；</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5、投标人近三年应具有类似业绩并提供证明文件每年一个（从2017年1月起至今合同、中标通知书及竣工验收单）；</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6、投标人财务状况报告良好，并提供近两年度（2018年、2019年）经会计事务所出具的财务审计报告，六个月缴纳税收和社会保障资金的有效证明材料；</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7、投标人承诺近三年企业、法定代表人、拟派项目负责人（项目经理）无违法、违规、违纪、违约行为的承诺书；</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8、投标人被“信用中国网”（网址：</w:t>
      </w:r>
      <w:r>
        <w:rPr>
          <w:rFonts w:hint="eastAsia" w:asciiTheme="minorEastAsia" w:hAnsiTheme="minorEastAsia" w:eastAsiaTheme="minorEastAsia" w:cstheme="minorEastAsia"/>
          <w:color w:val="333333"/>
          <w:kern w:val="0"/>
          <w:sz w:val="24"/>
          <w:szCs w:val="24"/>
          <w:lang w:val="en-US" w:eastAsia="zh-CN" w:bidi="ar"/>
        </w:rPr>
        <w:fldChar w:fldCharType="begin"/>
      </w:r>
      <w:r>
        <w:rPr>
          <w:rFonts w:hint="eastAsia" w:asciiTheme="minorEastAsia" w:hAnsiTheme="minorEastAsia" w:eastAsiaTheme="minorEastAsia" w:cstheme="minorEastAsia"/>
          <w:color w:val="333333"/>
          <w:kern w:val="0"/>
          <w:sz w:val="24"/>
          <w:szCs w:val="24"/>
          <w:lang w:val="en-US" w:eastAsia="zh-CN" w:bidi="ar"/>
        </w:rPr>
        <w:instrText xml:space="preserve"> HYPERLINK "http://www.creditchina.gov.cn/" </w:instrText>
      </w:r>
      <w:r>
        <w:rPr>
          <w:rFonts w:hint="eastAsia" w:asciiTheme="minorEastAsia" w:hAnsiTheme="minorEastAsia" w:eastAsiaTheme="minorEastAsia" w:cstheme="minorEastAsia"/>
          <w:color w:val="333333"/>
          <w:kern w:val="0"/>
          <w:sz w:val="24"/>
          <w:szCs w:val="24"/>
          <w:lang w:val="en-US" w:eastAsia="zh-CN" w:bidi="ar"/>
        </w:rPr>
        <w:fldChar w:fldCharType="separate"/>
      </w:r>
      <w:r>
        <w:rPr>
          <w:rFonts w:hint="eastAsia" w:asciiTheme="minorEastAsia" w:hAnsiTheme="minorEastAsia" w:eastAsiaTheme="minorEastAsia" w:cstheme="minorEastAsia"/>
          <w:color w:val="333333"/>
          <w:kern w:val="0"/>
          <w:sz w:val="24"/>
          <w:szCs w:val="24"/>
          <w:lang w:val="en-US" w:eastAsia="zh-CN" w:bidi="ar"/>
        </w:rPr>
        <w:t>www.creditchina.gov.cn</w:t>
      </w:r>
      <w:r>
        <w:rPr>
          <w:rFonts w:hint="eastAsia" w:asciiTheme="minorEastAsia" w:hAnsiTheme="minorEastAsia" w:eastAsiaTheme="minorEastAsia" w:cstheme="minorEastAsia"/>
          <w:color w:val="333333"/>
          <w:kern w:val="0"/>
          <w:sz w:val="24"/>
          <w:szCs w:val="24"/>
          <w:lang w:val="en-US" w:eastAsia="zh-CN" w:bidi="ar"/>
        </w:rPr>
        <w:fldChar w:fldCharType="end"/>
      </w:r>
      <w:r>
        <w:rPr>
          <w:rFonts w:hint="eastAsia" w:asciiTheme="minorEastAsia" w:hAnsiTheme="minorEastAsia" w:eastAsiaTheme="minorEastAsia" w:cstheme="minorEastAsia"/>
          <w:color w:val="333333"/>
          <w:kern w:val="0"/>
          <w:sz w:val="24"/>
          <w:szCs w:val="24"/>
          <w:lang w:val="en-US" w:eastAsia="zh-CN" w:bidi="ar"/>
        </w:rPr>
        <w:t>）、“中国政府采购网”（网址：</w:t>
      </w:r>
      <w:r>
        <w:rPr>
          <w:rFonts w:hint="eastAsia" w:asciiTheme="minorEastAsia" w:hAnsiTheme="minorEastAsia" w:eastAsiaTheme="minorEastAsia" w:cstheme="minorEastAsia"/>
          <w:color w:val="333333"/>
          <w:kern w:val="0"/>
          <w:sz w:val="24"/>
          <w:szCs w:val="24"/>
          <w:lang w:val="en-US" w:eastAsia="zh-CN" w:bidi="ar"/>
        </w:rPr>
        <w:fldChar w:fldCharType="begin"/>
      </w:r>
      <w:r>
        <w:rPr>
          <w:rFonts w:hint="eastAsia" w:asciiTheme="minorEastAsia" w:hAnsiTheme="minorEastAsia" w:eastAsiaTheme="minorEastAsia" w:cstheme="minorEastAsia"/>
          <w:color w:val="333333"/>
          <w:kern w:val="0"/>
          <w:sz w:val="24"/>
          <w:szCs w:val="24"/>
          <w:lang w:val="en-US" w:eastAsia="zh-CN" w:bidi="ar"/>
        </w:rPr>
        <w:instrText xml:space="preserve"> HYPERLINK "http://www.ccgp.gov.cn/" </w:instrText>
      </w:r>
      <w:r>
        <w:rPr>
          <w:rFonts w:hint="eastAsia" w:asciiTheme="minorEastAsia" w:hAnsiTheme="minorEastAsia" w:eastAsiaTheme="minorEastAsia" w:cstheme="minorEastAsia"/>
          <w:color w:val="333333"/>
          <w:kern w:val="0"/>
          <w:sz w:val="24"/>
          <w:szCs w:val="24"/>
          <w:lang w:val="en-US" w:eastAsia="zh-CN" w:bidi="ar"/>
        </w:rPr>
        <w:fldChar w:fldCharType="separate"/>
      </w:r>
      <w:r>
        <w:rPr>
          <w:rFonts w:hint="eastAsia" w:asciiTheme="minorEastAsia" w:hAnsiTheme="minorEastAsia" w:eastAsiaTheme="minorEastAsia" w:cstheme="minorEastAsia"/>
          <w:color w:val="333333"/>
          <w:kern w:val="0"/>
          <w:sz w:val="24"/>
          <w:szCs w:val="24"/>
          <w:lang w:val="en-US" w:eastAsia="zh-CN" w:bidi="ar"/>
        </w:rPr>
        <w:t>www.ccgp.gov.cn</w:t>
      </w:r>
      <w:r>
        <w:rPr>
          <w:rFonts w:hint="eastAsia" w:asciiTheme="minorEastAsia" w:hAnsiTheme="minorEastAsia" w:eastAsiaTheme="minorEastAsia" w:cstheme="minorEastAsia"/>
          <w:color w:val="333333"/>
          <w:kern w:val="0"/>
          <w:sz w:val="24"/>
          <w:szCs w:val="24"/>
          <w:lang w:val="en-US" w:eastAsia="zh-CN" w:bidi="ar"/>
        </w:rPr>
        <w:fldChar w:fldCharType="end"/>
      </w:r>
      <w:r>
        <w:rPr>
          <w:rFonts w:hint="eastAsia" w:asciiTheme="minorEastAsia" w:hAnsiTheme="minorEastAsia" w:eastAsiaTheme="minorEastAsia" w:cstheme="minorEastAsia"/>
          <w:color w:val="333333"/>
          <w:kern w:val="0"/>
          <w:sz w:val="24"/>
          <w:szCs w:val="24"/>
          <w:lang w:val="en-US" w:eastAsia="zh-CN" w:bidi="ar"/>
        </w:rPr>
        <w:t>）列入失信被执行人、重大税违法案件当事人名单、政府采购严重违法失信行为记录名单等不良行为记录不得参与本项目政府采购活动；（公告发布起查询，网上自查加盖公章）；</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9、提供“中国裁判文书网”近三年内，参与投标的投标人企业、法定代表人在经营活动中没有重大违法记录及行贿犯罪记录查询函；（公告发布起查询，网上自查加盖公章、如有重大违法记录及行贿犯罪记录将拒绝参与本项目报名）</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10、投标人需提供保证本项目提供的报名资料均真实有效，若弄虚作假将自行承担一切法律责任的承诺函；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150" w:afterAutospacing="0" w:line="384" w:lineRule="auto"/>
        <w:ind w:right="-227" w:rightChars="0"/>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11、本项目不接受联合体投标，如国家法律法规对市场准入有要求的还应符合相关规定。</w:t>
      </w:r>
      <w:r>
        <w:rPr>
          <w:rFonts w:hint="eastAsia" w:asciiTheme="minorEastAsia" w:hAnsiTheme="minorEastAsia" w:eastAsiaTheme="minorEastAsia" w:cstheme="minorEastAsia"/>
          <w:color w:val="333333"/>
          <w:kern w:val="0"/>
          <w:sz w:val="24"/>
          <w:szCs w:val="24"/>
          <w:lang w:val="en-US" w:eastAsia="zh-CN" w:bidi="ar"/>
        </w:rPr>
        <w:br w:type="textWrapping"/>
      </w:r>
      <w:r>
        <w:rPr>
          <w:rFonts w:hint="eastAsia" w:asciiTheme="minorEastAsia" w:hAnsiTheme="minorEastAsia" w:eastAsiaTheme="minorEastAsia" w:cstheme="minorEastAsia"/>
          <w:color w:val="333333"/>
          <w:kern w:val="0"/>
          <w:sz w:val="24"/>
          <w:szCs w:val="24"/>
          <w:lang w:val="en-US" w:eastAsia="zh-CN" w:bidi="ar"/>
        </w:rPr>
        <w:t>以上资格要求为本次项目投标人应具备的基本条件，参加投标的投标人必须满足资格要求中的所有条款，并按照相关规定递交申请文件。</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三、获取采购文件</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时    间：</w:t>
      </w:r>
      <w:r>
        <w:rPr>
          <w:rFonts w:hint="eastAsia" w:asciiTheme="minorEastAsia" w:hAnsiTheme="minorEastAsia" w:eastAsiaTheme="minorEastAsia" w:cstheme="minorEastAsia"/>
          <w:color w:val="333333"/>
          <w:kern w:val="0"/>
          <w:sz w:val="24"/>
          <w:szCs w:val="24"/>
          <w:u w:val="single"/>
          <w:lang w:val="en-US" w:eastAsia="zh-CN" w:bidi="ar"/>
        </w:rPr>
        <w:t>2020年07月15日</w:t>
      </w:r>
      <w:r>
        <w:rPr>
          <w:rFonts w:hint="eastAsia" w:asciiTheme="minorEastAsia" w:hAnsiTheme="minorEastAsia" w:eastAsiaTheme="minorEastAsia" w:cstheme="minorEastAsia"/>
          <w:color w:val="333333"/>
          <w:kern w:val="0"/>
          <w:sz w:val="24"/>
          <w:szCs w:val="24"/>
          <w:lang w:val="en-US" w:eastAsia="zh-CN" w:bidi="ar"/>
        </w:rPr>
        <w:t>至</w:t>
      </w:r>
      <w:r>
        <w:rPr>
          <w:rFonts w:hint="eastAsia" w:asciiTheme="minorEastAsia" w:hAnsiTheme="minorEastAsia" w:eastAsiaTheme="minorEastAsia" w:cstheme="minorEastAsia"/>
          <w:color w:val="333333"/>
          <w:kern w:val="0"/>
          <w:sz w:val="24"/>
          <w:szCs w:val="24"/>
          <w:u w:val="single"/>
          <w:lang w:val="en-US" w:eastAsia="zh-CN" w:bidi="ar"/>
        </w:rPr>
        <w:t>2020年07月21日</w:t>
      </w:r>
      <w:r>
        <w:rPr>
          <w:rFonts w:hint="eastAsia" w:asciiTheme="minorEastAsia" w:hAnsiTheme="minorEastAsia" w:eastAsiaTheme="minorEastAsia" w:cstheme="minorEastAsia"/>
          <w:color w:val="333333"/>
          <w:kern w:val="0"/>
          <w:sz w:val="24"/>
          <w:szCs w:val="24"/>
          <w:lang w:val="en-US" w:eastAsia="zh-CN" w:bidi="ar"/>
        </w:rPr>
        <w:t>，每天上午：</w:t>
      </w:r>
      <w:r>
        <w:rPr>
          <w:rFonts w:hint="eastAsia" w:asciiTheme="minorEastAsia" w:hAnsiTheme="minorEastAsia" w:eastAsiaTheme="minorEastAsia" w:cstheme="minorEastAsia"/>
          <w:color w:val="333333"/>
          <w:kern w:val="0"/>
          <w:sz w:val="24"/>
          <w:szCs w:val="24"/>
          <w:u w:val="single"/>
          <w:lang w:val="en-US" w:eastAsia="zh-CN" w:bidi="ar"/>
        </w:rPr>
        <w:t>9:00至12:00</w:t>
      </w:r>
      <w:r>
        <w:rPr>
          <w:rFonts w:hint="eastAsia" w:asciiTheme="minorEastAsia" w:hAnsiTheme="minorEastAsia" w:eastAsiaTheme="minorEastAsia" w:cstheme="minorEastAsia"/>
          <w:color w:val="333333"/>
          <w:kern w:val="0"/>
          <w:sz w:val="24"/>
          <w:szCs w:val="24"/>
          <w:lang w:val="en-US" w:eastAsia="zh-CN" w:bidi="ar"/>
        </w:rPr>
        <w:t>，下午：</w:t>
      </w:r>
      <w:r>
        <w:rPr>
          <w:rFonts w:hint="eastAsia" w:asciiTheme="minorEastAsia" w:hAnsiTheme="minorEastAsia" w:eastAsiaTheme="minorEastAsia" w:cstheme="minorEastAsia"/>
          <w:color w:val="333333"/>
          <w:kern w:val="0"/>
          <w:sz w:val="24"/>
          <w:szCs w:val="24"/>
          <w:u w:val="single"/>
          <w:lang w:val="en-US" w:eastAsia="zh-CN" w:bidi="ar"/>
        </w:rPr>
        <w:t>14:30至17:00</w:t>
      </w:r>
      <w:r>
        <w:rPr>
          <w:rFonts w:hint="eastAsia" w:asciiTheme="minorEastAsia" w:hAnsiTheme="minorEastAsia" w:eastAsiaTheme="minorEastAsia" w:cstheme="minorEastAsia"/>
          <w:color w:val="333333"/>
          <w:kern w:val="0"/>
          <w:sz w:val="24"/>
          <w:szCs w:val="24"/>
          <w:lang w:val="en-US" w:eastAsia="zh-CN" w:bidi="ar"/>
        </w:rPr>
        <w:t xml:space="preserve">（北京时间，法定节假日除外 ）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地    点：</w:t>
      </w:r>
      <w:r>
        <w:rPr>
          <w:rFonts w:hint="eastAsia" w:asciiTheme="minorEastAsia" w:hAnsiTheme="minorEastAsia" w:eastAsiaTheme="minorEastAsia" w:cstheme="minorEastAsia"/>
          <w:color w:val="333333"/>
          <w:kern w:val="0"/>
          <w:sz w:val="24"/>
          <w:szCs w:val="24"/>
          <w:u w:val="single"/>
          <w:lang w:val="en-US" w:eastAsia="zh-CN" w:bidi="ar"/>
        </w:rPr>
        <w:t xml:space="preserve">湖北峰锐溪工程项目管理有限公司（江夏区联投广场商业区一期23栋802室）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注：报名时须提交以下资料：法定代表人持法定代表人身份证明书、身份证或授权项目负责人持法定代表人授权委托书、身份证及本公告第二条投标人资格要求的证明材料（胶装成册并逐页加盖公章及骑缝章的复印件一套，复印件内容需清晰可辨，复印件留存，装订成册的报名资料只视为复印件），提供加盖公章的报名表（手持）（详见附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方    式：</w:t>
      </w:r>
      <w:r>
        <w:rPr>
          <w:rFonts w:hint="eastAsia" w:asciiTheme="minorEastAsia" w:hAnsiTheme="minorEastAsia" w:eastAsiaTheme="minorEastAsia" w:cstheme="minorEastAsia"/>
          <w:color w:val="333333"/>
          <w:kern w:val="0"/>
          <w:sz w:val="24"/>
          <w:szCs w:val="24"/>
          <w:u w:val="single"/>
          <w:lang w:val="en-US" w:eastAsia="zh-CN" w:bidi="ar"/>
        </w:rPr>
        <w:t>资格预审集中审查合格后方可购买招标文件</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审查时间：</w:t>
      </w:r>
      <w:r>
        <w:rPr>
          <w:rFonts w:hint="eastAsia" w:asciiTheme="minorEastAsia" w:hAnsiTheme="minorEastAsia" w:eastAsiaTheme="minorEastAsia" w:cstheme="minorEastAsia"/>
          <w:color w:val="333333"/>
          <w:kern w:val="0"/>
          <w:sz w:val="24"/>
          <w:szCs w:val="24"/>
          <w:u w:val="single"/>
          <w:lang w:val="en-US" w:eastAsia="zh-CN" w:bidi="ar"/>
        </w:rPr>
        <w:t>2020年07月22日10:00-11:00</w:t>
      </w:r>
      <w:r>
        <w:rPr>
          <w:rFonts w:hint="eastAsia" w:asciiTheme="minorEastAsia" w:hAnsiTheme="minorEastAsia" w:eastAsiaTheme="minorEastAsia" w:cstheme="minorEastAsia"/>
          <w:color w:val="333333"/>
          <w:kern w:val="0"/>
          <w:sz w:val="24"/>
          <w:szCs w:val="24"/>
          <w:lang w:val="en-US" w:eastAsia="zh-CN" w:bidi="ar"/>
        </w:rPr>
        <w:t xml:space="preserve">时签到（逾期作弃权处理）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注：集中审查时须由法定代表人持法定代表人身份证明书、身份证或授权项目负责人持法定代表人授权委托书、身份证和报名资料全部的原件进行审查，复印件必须与原件一致。不按要求提交申请文件及相应的原件审验或提交不齐全或原件与复印件不一致的单位，视为审查不合格，审查合格后方可领取招标文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售    价：</w:t>
      </w:r>
      <w:r>
        <w:rPr>
          <w:rFonts w:hint="eastAsia" w:asciiTheme="minorEastAsia" w:hAnsiTheme="minorEastAsia" w:eastAsiaTheme="minorEastAsia" w:cstheme="minorEastAsia"/>
          <w:color w:val="333333"/>
          <w:kern w:val="0"/>
          <w:sz w:val="24"/>
          <w:szCs w:val="24"/>
          <w:u w:val="single"/>
          <w:lang w:val="en-US" w:eastAsia="zh-CN" w:bidi="ar"/>
        </w:rPr>
        <w:t xml:space="preserve">磋商文件每套售价500元，售后不退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四、响应文件提交</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截止时间：</w:t>
      </w:r>
      <w:r>
        <w:rPr>
          <w:rFonts w:hint="eastAsia" w:asciiTheme="minorEastAsia" w:hAnsiTheme="minorEastAsia" w:eastAsiaTheme="minorEastAsia" w:cstheme="minorEastAsia"/>
          <w:color w:val="333333"/>
          <w:kern w:val="0"/>
          <w:sz w:val="24"/>
          <w:szCs w:val="24"/>
          <w:u w:val="single"/>
          <w:lang w:val="en-US" w:eastAsia="zh-CN" w:bidi="ar"/>
        </w:rPr>
        <w:t>2020年07月29日14时30分</w:t>
      </w:r>
      <w:r>
        <w:rPr>
          <w:rFonts w:hint="eastAsia" w:asciiTheme="minorEastAsia" w:hAnsiTheme="minorEastAsia" w:eastAsiaTheme="minorEastAsia" w:cstheme="minorEastAsia"/>
          <w:color w:val="333333"/>
          <w:kern w:val="0"/>
          <w:sz w:val="24"/>
          <w:szCs w:val="24"/>
          <w:lang w:val="en-US" w:eastAsia="zh-CN" w:bidi="ar"/>
        </w:rPr>
        <w:t xml:space="preserve"> 迟到的投标文件将不予受理。（北京时间）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地    点：湖北峰锐溪工程项目管理有限公司（江夏区联投广场商业区一期23栋802室）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五、开标地点及时间</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1、开标地点：</w:t>
      </w:r>
      <w:r>
        <w:rPr>
          <w:rFonts w:hint="eastAsia" w:asciiTheme="minorEastAsia" w:hAnsiTheme="minorEastAsia" w:eastAsiaTheme="minorEastAsia" w:cstheme="minorEastAsia"/>
          <w:color w:val="333333"/>
          <w:kern w:val="0"/>
          <w:sz w:val="24"/>
          <w:szCs w:val="24"/>
          <w:u w:val="single"/>
          <w:lang w:val="en-US" w:eastAsia="zh-CN" w:bidi="ar"/>
        </w:rPr>
        <w:t>湖北峰锐溪工程项目管理有限公司</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2、开标时间：</w:t>
      </w:r>
      <w:r>
        <w:rPr>
          <w:rFonts w:hint="eastAsia" w:asciiTheme="minorEastAsia" w:hAnsiTheme="minorEastAsia" w:eastAsiaTheme="minorEastAsia" w:cstheme="minorEastAsia"/>
          <w:color w:val="333333"/>
          <w:kern w:val="0"/>
          <w:sz w:val="24"/>
          <w:szCs w:val="24"/>
          <w:u w:val="single"/>
          <w:lang w:val="en-US" w:eastAsia="zh-CN" w:bidi="ar"/>
        </w:rPr>
        <w:t>2020年07月29日14时30分</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届时请投标人带授权委托书及被委托人身份证原件以备查验、逾期送达的或未送达指定地点的投标文件恕不接受。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六、公告期限</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自本公告发布之日起5个工作日。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b/>
          <w:color w:val="333333"/>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七、其他补充事宜</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right="-227" w:firstLine="480" w:firstLineChars="200"/>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1.采购项目需要落实的政府采购政策: 政府采购促进中小企业发展政策；2、政府采购支持监狱企业发展政策；3、政府采购促进残疾人就业政策；4、具体约定详见本项目招标文件核减办法。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right="-227"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2.本次公告在《湖北政府采购网》上发布。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720" w:firstLineChars="3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(http：//www.ccgp-hubei.gov.cn)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333333"/>
          <w:kern w:val="0"/>
          <w:sz w:val="24"/>
          <w:szCs w:val="24"/>
          <w:lang w:val="en-US" w:eastAsia="zh-CN" w:bidi="ar"/>
        </w:rPr>
        <w:t>八、凡对本次采购提出询问，请按以下方式联系。</w:t>
      </w:r>
      <w:r>
        <w:rPr>
          <w:rFonts w:hint="eastAsia" w:asciiTheme="minorEastAsia" w:hAnsiTheme="minorEastAsia" w:eastAsiaTheme="minorEastAsia" w:cstheme="minorEastAsia"/>
          <w:color w:val="333333"/>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1、采购人信息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名    称：武汉江夏经济开发区管理委员会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地    址：武汉市江夏区腾讯大道阳光创谷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color w:val="333333"/>
          <w:kern w:val="0"/>
          <w:sz w:val="24"/>
          <w:szCs w:val="24"/>
          <w:lang w:val="en-US" w:eastAsia="zh-CN" w:bidi="ar"/>
        </w:rPr>
        <w:t>联系方式：027-87992938</w:t>
      </w:r>
      <w:r>
        <w:rPr>
          <w:rFonts w:hint="eastAsia" w:asciiTheme="minorEastAsia" w:hAnsiTheme="minorEastAsia" w:eastAsiaTheme="minorEastAsia" w:cstheme="minorEastAsia"/>
          <w:color w:val="333333"/>
          <w:kern w:val="0"/>
          <w:sz w:val="24"/>
          <w:szCs w:val="24"/>
          <w:lang w:val="en-US" w:eastAsia="zh-CN" w:bidi="ar"/>
        </w:rPr>
        <w:tab/>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2、采购代理机构信息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名    称：湖北峰锐溪工程项目管理有限公司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地　 址：江夏区联投广场商业区一期23栋802室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项目联系人：熊工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color w:val="333333"/>
          <w:kern w:val="0"/>
          <w:sz w:val="24"/>
          <w:szCs w:val="24"/>
          <w:lang w:val="en-US" w:eastAsia="zh-CN" w:bidi="ar"/>
        </w:rPr>
        <w:t>联系方式：15972168481</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3、政府采购监督管理部门：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名    称：武汉市江夏区政府采购办公室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firstLine="560"/>
        <w:jc w:val="left"/>
        <w:textAlignment w:val="auto"/>
        <w:rPr>
          <w:rFonts w:hint="eastAsia" w:asciiTheme="minorEastAsia" w:hAnsiTheme="minorEastAsia" w:eastAsiaTheme="minorEastAsia" w:cstheme="minorEastAsia"/>
          <w:color w:val="333333"/>
          <w:kern w:val="0"/>
          <w:sz w:val="24"/>
          <w:szCs w:val="24"/>
          <w:lang w:val="en-US" w:eastAsia="zh-CN" w:bidi="ar"/>
        </w:rPr>
      </w:pPr>
      <w:r>
        <w:rPr>
          <w:rFonts w:hint="eastAsia" w:asciiTheme="minorEastAsia" w:hAnsiTheme="minorEastAsia" w:eastAsiaTheme="minorEastAsia" w:cstheme="minorEastAsia"/>
          <w:color w:val="333333"/>
          <w:kern w:val="0"/>
          <w:sz w:val="24"/>
          <w:szCs w:val="24"/>
          <w:lang w:val="en-US" w:eastAsia="zh-CN" w:bidi="ar"/>
        </w:rPr>
        <w:t xml:space="preserve">电    话：027-81363102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 xml:space="preserve">湖北峰锐溪工程项目管理有限公司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384" w:lineRule="auto"/>
        <w:ind w:left="-226" w:right="-227"/>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lang w:val="en-US" w:eastAsia="zh-CN" w:bidi="ar"/>
        </w:rPr>
        <w:t>2020年07月15日</w:t>
      </w:r>
    </w:p>
    <w:p>
      <w:pPr>
        <w:pStyle w:val="14"/>
        <w:numPr>
          <w:ilvl w:val="0"/>
          <w:numId w:val="0"/>
        </w:numPr>
        <w:ind w:right="0" w:rightChars="0"/>
        <w:jc w:val="center"/>
        <w:outlineLvl w:val="0"/>
        <w:rPr>
          <w:rFonts w:hint="eastAsia" w:cs="宋体"/>
          <w:color w:val="000000"/>
          <w:szCs w:val="30"/>
          <w:lang w:val="en-US" w:eastAsia="zh-CN"/>
        </w:rPr>
      </w:pPr>
    </w:p>
    <w:p>
      <w:pPr>
        <w:pStyle w:val="14"/>
        <w:numPr>
          <w:ilvl w:val="0"/>
          <w:numId w:val="0"/>
        </w:numPr>
        <w:ind w:right="0" w:rightChars="0"/>
        <w:jc w:val="center"/>
        <w:outlineLvl w:val="0"/>
        <w:rPr>
          <w:rFonts w:hint="eastAsia" w:cs="宋体"/>
          <w:color w:val="000000"/>
          <w:szCs w:val="30"/>
          <w:lang w:val="en-US" w:eastAsia="zh-CN"/>
        </w:rPr>
      </w:pPr>
    </w:p>
    <w:p>
      <w:pPr>
        <w:pStyle w:val="14"/>
        <w:numPr>
          <w:ilvl w:val="0"/>
          <w:numId w:val="0"/>
        </w:numPr>
        <w:ind w:right="0" w:rightChars="0"/>
        <w:jc w:val="both"/>
        <w:outlineLvl w:val="0"/>
        <w:rPr>
          <w:rFonts w:hint="eastAsia" w:cs="宋体"/>
          <w:color w:val="000000"/>
          <w:szCs w:val="30"/>
          <w:lang w:val="en-US" w:eastAsia="zh-CN"/>
        </w:rPr>
      </w:pPr>
    </w:p>
    <w:p>
      <w:pPr>
        <w:pStyle w:val="14"/>
        <w:numPr>
          <w:ilvl w:val="0"/>
          <w:numId w:val="0"/>
        </w:numPr>
        <w:ind w:right="0" w:rightChars="0"/>
        <w:jc w:val="center"/>
        <w:outlineLvl w:val="0"/>
        <w:rPr>
          <w:rFonts w:ascii="宋体" w:hAnsi="宋体" w:eastAsia="宋体" w:cs="宋体"/>
          <w:color w:val="000000"/>
          <w:szCs w:val="30"/>
        </w:rPr>
      </w:pPr>
      <w:r>
        <w:rPr>
          <w:rFonts w:hint="eastAsia" w:cs="宋体"/>
          <w:color w:val="000000"/>
          <w:szCs w:val="30"/>
          <w:lang w:val="en-US" w:eastAsia="zh-CN"/>
        </w:rPr>
        <w:t>第二章</w:t>
      </w:r>
      <w:r>
        <w:rPr>
          <w:rFonts w:hint="eastAsia" w:ascii="宋体" w:hAnsi="宋体" w:eastAsia="宋体" w:cs="宋体"/>
          <w:color w:val="000000"/>
          <w:szCs w:val="30"/>
        </w:rPr>
        <w:t>、磋商须知</w:t>
      </w:r>
      <w:bookmarkEnd w:id="0"/>
      <w:bookmarkEnd w:id="1"/>
      <w:bookmarkEnd w:id="2"/>
    </w:p>
    <w:p>
      <w:pPr>
        <w:rPr>
          <w:rFonts w:ascii="宋体" w:hAnsi="宋体" w:eastAsia="宋体" w:cs="宋体"/>
          <w:color w:val="000000"/>
          <w:sz w:val="24"/>
        </w:rPr>
      </w:pPr>
    </w:p>
    <w:p>
      <w:pPr>
        <w:spacing w:line="360" w:lineRule="auto"/>
        <w:ind w:left="0" w:leftChars="0" w:firstLine="0" w:firstLineChars="0"/>
        <w:jc w:val="center"/>
        <w:rPr>
          <w:rFonts w:ascii="宋体" w:hAnsi="宋体" w:eastAsia="宋体" w:cs="宋体"/>
          <w:color w:val="000000"/>
          <w:sz w:val="22"/>
          <w:szCs w:val="22"/>
        </w:rPr>
      </w:pPr>
      <w:bookmarkStart w:id="3" w:name="_Toc477965447"/>
      <w:bookmarkStart w:id="4" w:name="_Toc385854838"/>
      <w:bookmarkStart w:id="5" w:name="_Toc477965458"/>
      <w:r>
        <w:rPr>
          <w:rFonts w:hint="eastAsia" w:ascii="宋体" w:hAnsi="宋体" w:eastAsia="宋体" w:cs="宋体"/>
          <w:color w:val="000000"/>
          <w:sz w:val="22"/>
          <w:szCs w:val="22"/>
        </w:rPr>
        <w:t>磋商投标人须知前附表</w:t>
      </w:r>
      <w:bookmarkEnd w:id="3"/>
      <w:bookmarkEnd w:id="4"/>
      <w:bookmarkEnd w:id="5"/>
    </w:p>
    <w:tbl>
      <w:tblPr>
        <w:tblStyle w:val="15"/>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421"/>
        <w:gridCol w:w="6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项号</w:t>
            </w:r>
          </w:p>
        </w:tc>
        <w:tc>
          <w:tcPr>
            <w:tcW w:w="2421"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内   容</w:t>
            </w:r>
          </w:p>
        </w:tc>
        <w:tc>
          <w:tcPr>
            <w:tcW w:w="6389"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项目名称</w:t>
            </w:r>
          </w:p>
        </w:tc>
        <w:tc>
          <w:tcPr>
            <w:tcW w:w="6389" w:type="dxa"/>
            <w:vAlign w:val="center"/>
          </w:tcPr>
          <w:p>
            <w:pPr>
              <w:spacing w:line="360" w:lineRule="exact"/>
              <w:rPr>
                <w:rFonts w:ascii="宋体" w:hAnsi="宋体" w:eastAsia="宋体" w:cs="宋体"/>
                <w:color w:val="000000"/>
                <w:spacing w:val="-14"/>
                <w:sz w:val="21"/>
                <w:szCs w:val="21"/>
              </w:rPr>
            </w:pPr>
            <w:r>
              <w:rPr>
                <w:rFonts w:hint="eastAsia" w:cs="宋体"/>
                <w:color w:val="000000"/>
                <w:sz w:val="21"/>
                <w:szCs w:val="21"/>
                <w:lang w:val="zh-CN"/>
              </w:rPr>
              <w:t>庙山向阳农民还建新村新建临时专用箱变供电工程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2</w:t>
            </w:r>
          </w:p>
        </w:tc>
        <w:tc>
          <w:tcPr>
            <w:tcW w:w="2421" w:type="dxa"/>
            <w:vAlign w:val="center"/>
          </w:tcPr>
          <w:p>
            <w:pPr>
              <w:widowControl/>
              <w:spacing w:line="300" w:lineRule="exact"/>
              <w:jc w:val="center"/>
              <w:rPr>
                <w:rFonts w:ascii="宋体" w:hAnsi="宋体" w:eastAsia="宋体" w:cs="宋体"/>
                <w:color w:val="000000"/>
                <w:sz w:val="21"/>
                <w:szCs w:val="21"/>
                <w:lang w:val="zh-CN"/>
              </w:rPr>
            </w:pPr>
            <w:r>
              <w:rPr>
                <w:rFonts w:hint="eastAsia" w:ascii="宋体" w:hAnsi="宋体" w:eastAsia="宋体" w:cs="宋体"/>
                <w:color w:val="000000"/>
                <w:sz w:val="21"/>
                <w:szCs w:val="21"/>
                <w:lang w:val="zh-CN"/>
              </w:rPr>
              <w:t>预算金额</w:t>
            </w:r>
          </w:p>
        </w:tc>
        <w:tc>
          <w:tcPr>
            <w:tcW w:w="6389" w:type="dxa"/>
            <w:vAlign w:val="center"/>
          </w:tcPr>
          <w:p>
            <w:pPr>
              <w:spacing w:line="460" w:lineRule="exact"/>
              <w:jc w:val="left"/>
              <w:rPr>
                <w:rFonts w:ascii="宋体" w:hAnsi="宋体" w:eastAsia="宋体" w:cs="宋体"/>
                <w:color w:val="000000"/>
                <w:sz w:val="21"/>
                <w:szCs w:val="21"/>
              </w:rPr>
            </w:pPr>
            <w:r>
              <w:rPr>
                <w:rFonts w:hint="eastAsia" w:ascii="宋体" w:hAnsi="宋体" w:eastAsia="宋体" w:cs="宋体"/>
                <w:color w:val="000000"/>
                <w:sz w:val="21"/>
                <w:szCs w:val="21"/>
              </w:rPr>
              <w:t>人民币</w:t>
            </w:r>
            <w:r>
              <w:rPr>
                <w:rFonts w:hint="eastAsia" w:cs="宋体"/>
                <w:color w:val="000000"/>
                <w:sz w:val="21"/>
                <w:szCs w:val="21"/>
                <w:lang w:eastAsia="zh-CN"/>
              </w:rPr>
              <w:t>113.1510367</w:t>
            </w:r>
            <w:r>
              <w:rPr>
                <w:rFonts w:hint="eastAsia" w:ascii="宋体" w:hAnsi="宋体" w:eastAsia="宋体" w:cs="宋体"/>
                <w:color w:val="000000"/>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3</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color w:val="000000"/>
                <w:sz w:val="21"/>
                <w:szCs w:val="21"/>
                <w:lang w:val="zh-CN"/>
              </w:rPr>
              <w:t>资金来源</w:t>
            </w:r>
          </w:p>
        </w:tc>
        <w:tc>
          <w:tcPr>
            <w:tcW w:w="6389" w:type="dxa"/>
            <w:vAlign w:val="center"/>
          </w:tcPr>
          <w:p>
            <w:pPr>
              <w:spacing w:line="460" w:lineRule="exact"/>
              <w:jc w:val="left"/>
              <w:rPr>
                <w:rFonts w:ascii="宋体" w:hAnsi="宋体" w:eastAsia="宋体" w:cs="宋体"/>
                <w:color w:val="000000"/>
                <w:sz w:val="21"/>
                <w:szCs w:val="21"/>
              </w:rPr>
            </w:pPr>
            <w:r>
              <w:rPr>
                <w:rFonts w:hint="eastAsia" w:ascii="宋体" w:hAnsi="宋体" w:eastAsia="宋体" w:cs="宋体"/>
                <w:color w:val="000000"/>
                <w:sz w:val="21"/>
                <w:szCs w:val="21"/>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4</w:t>
            </w:r>
          </w:p>
        </w:tc>
        <w:tc>
          <w:tcPr>
            <w:tcW w:w="2421" w:type="dxa"/>
            <w:vAlign w:val="center"/>
          </w:tcPr>
          <w:p>
            <w:pPr>
              <w:widowControl/>
              <w:spacing w:line="300" w:lineRule="exact"/>
              <w:jc w:val="center"/>
              <w:rPr>
                <w:rFonts w:ascii="宋体" w:hAnsi="宋体" w:eastAsia="宋体" w:cs="宋体"/>
                <w:color w:val="000000"/>
                <w:sz w:val="21"/>
                <w:szCs w:val="21"/>
                <w:lang w:val="zh-CN"/>
              </w:rPr>
            </w:pPr>
            <w:r>
              <w:rPr>
                <w:rFonts w:hint="eastAsia" w:ascii="宋体" w:hAnsi="宋体" w:eastAsia="宋体" w:cs="宋体"/>
                <w:color w:val="000000"/>
                <w:sz w:val="21"/>
                <w:szCs w:val="21"/>
                <w:lang w:val="zh-CN"/>
              </w:rPr>
              <w:t>采购范围</w:t>
            </w:r>
          </w:p>
        </w:tc>
        <w:tc>
          <w:tcPr>
            <w:tcW w:w="6389" w:type="dxa"/>
            <w:vAlign w:val="center"/>
          </w:tcPr>
          <w:p>
            <w:pPr>
              <w:spacing w:line="460" w:lineRule="exac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zh-CN"/>
              </w:rPr>
              <w:t>详见</w:t>
            </w:r>
            <w:r>
              <w:rPr>
                <w:rFonts w:hint="eastAsia" w:ascii="宋体" w:hAnsi="宋体" w:eastAsia="宋体" w:cs="宋体"/>
                <w:color w:val="000000"/>
                <w:sz w:val="21"/>
                <w:szCs w:val="21"/>
                <w:lang w:val="en-US" w:eastAsia="zh-CN"/>
              </w:rPr>
              <w:t>附件一：工程量清单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5</w:t>
            </w:r>
          </w:p>
        </w:tc>
        <w:tc>
          <w:tcPr>
            <w:tcW w:w="2421" w:type="dxa"/>
            <w:vAlign w:val="center"/>
          </w:tcPr>
          <w:p>
            <w:pPr>
              <w:autoSpaceDE w:val="0"/>
              <w:autoSpaceDN w:val="0"/>
              <w:spacing w:line="300" w:lineRule="exact"/>
              <w:jc w:val="center"/>
              <w:rPr>
                <w:rFonts w:ascii="宋体" w:hAnsi="宋体" w:eastAsia="宋体" w:cs="宋体"/>
                <w:sz w:val="21"/>
                <w:szCs w:val="21"/>
              </w:rPr>
            </w:pPr>
            <w:r>
              <w:rPr>
                <w:rFonts w:hint="eastAsia" w:ascii="宋体" w:hAnsi="宋体" w:eastAsia="宋体" w:cs="宋体"/>
                <w:sz w:val="21"/>
                <w:szCs w:val="21"/>
              </w:rPr>
              <w:t>工期</w:t>
            </w:r>
          </w:p>
        </w:tc>
        <w:tc>
          <w:tcPr>
            <w:tcW w:w="6389" w:type="dxa"/>
            <w:vAlign w:val="center"/>
          </w:tcPr>
          <w:p>
            <w:pPr>
              <w:spacing w:line="460" w:lineRule="exact"/>
              <w:jc w:val="left"/>
              <w:rPr>
                <w:rFonts w:ascii="宋体" w:hAnsi="宋体" w:eastAsia="宋体" w:cs="宋体"/>
                <w:sz w:val="21"/>
                <w:szCs w:val="21"/>
              </w:rPr>
            </w:pPr>
            <w:r>
              <w:rPr>
                <w:rFonts w:hint="eastAsia" w:cs="宋体"/>
                <w:sz w:val="21"/>
                <w:szCs w:val="21"/>
                <w:lang w:val="en-US" w:eastAsia="zh-CN"/>
              </w:rPr>
              <w:t>60</w:t>
            </w:r>
            <w:r>
              <w:rPr>
                <w:rFonts w:hint="eastAsia" w:ascii="宋体" w:hAnsi="宋体" w:eastAsia="宋体" w:cs="宋体"/>
                <w:sz w:val="21"/>
                <w:szCs w:val="21"/>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6</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color w:val="000000"/>
                <w:sz w:val="21"/>
                <w:szCs w:val="21"/>
                <w:lang w:val="zh-CN"/>
              </w:rPr>
              <w:t>磋商保证金</w:t>
            </w:r>
          </w:p>
        </w:tc>
        <w:tc>
          <w:tcPr>
            <w:tcW w:w="6389" w:type="dxa"/>
            <w:vAlign w:val="center"/>
          </w:tcPr>
          <w:p>
            <w:pPr>
              <w:widowControl/>
              <w:spacing w:line="300" w:lineRule="exact"/>
              <w:rPr>
                <w:rFonts w:ascii="宋体" w:hAnsi="宋体" w:eastAsia="宋体" w:cs="宋体"/>
                <w:color w:val="000000"/>
                <w:sz w:val="21"/>
                <w:szCs w:val="21"/>
              </w:rPr>
            </w:pPr>
            <w:r>
              <w:rPr>
                <w:rFonts w:hint="eastAsia" w:ascii="宋体" w:hAnsi="宋体" w:eastAsia="宋体" w:cs="宋体"/>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7</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资质要求</w:t>
            </w:r>
          </w:p>
        </w:tc>
        <w:tc>
          <w:tcPr>
            <w:tcW w:w="6389" w:type="dxa"/>
            <w:vAlign w:val="center"/>
          </w:tcPr>
          <w:p>
            <w:pPr>
              <w:spacing w:line="460" w:lineRule="exact"/>
              <w:rPr>
                <w:rFonts w:ascii="宋体" w:hAnsi="宋体" w:eastAsia="宋体" w:cs="宋体"/>
                <w:color w:val="000000"/>
                <w:sz w:val="21"/>
                <w:szCs w:val="21"/>
              </w:rPr>
            </w:pPr>
            <w:r>
              <w:rPr>
                <w:rFonts w:hint="eastAsia" w:ascii="宋体" w:hAnsi="宋体" w:eastAsia="宋体" w:cs="宋体"/>
                <w:color w:val="000000"/>
                <w:sz w:val="21"/>
                <w:szCs w:val="21"/>
              </w:rPr>
              <w:t>详见第一章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8</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磋商有效期</w:t>
            </w:r>
          </w:p>
        </w:tc>
        <w:tc>
          <w:tcPr>
            <w:tcW w:w="6389" w:type="dxa"/>
            <w:vAlign w:val="center"/>
          </w:tcPr>
          <w:p>
            <w:pPr>
              <w:spacing w:line="460" w:lineRule="exact"/>
              <w:rPr>
                <w:rFonts w:ascii="宋体" w:hAnsi="宋体" w:eastAsia="宋体" w:cs="宋体"/>
                <w:color w:val="000000"/>
                <w:sz w:val="21"/>
                <w:szCs w:val="21"/>
              </w:rPr>
            </w:pPr>
            <w:r>
              <w:rPr>
                <w:rFonts w:hint="eastAsia" w:ascii="宋体" w:hAnsi="宋体" w:eastAsia="宋体" w:cs="宋体"/>
                <w:color w:val="000000"/>
                <w:sz w:val="21"/>
                <w:szCs w:val="21"/>
              </w:rPr>
              <w:t>60个日历天（从磋商截止之日算起）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9</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磋商文件份数</w:t>
            </w:r>
          </w:p>
        </w:tc>
        <w:tc>
          <w:tcPr>
            <w:tcW w:w="6389" w:type="dxa"/>
            <w:vAlign w:val="center"/>
          </w:tcPr>
          <w:p>
            <w:pPr>
              <w:spacing w:line="460" w:lineRule="exact"/>
              <w:rPr>
                <w:rFonts w:ascii="宋体" w:hAnsi="宋体" w:eastAsia="宋体" w:cs="宋体"/>
                <w:snapToGrid w:val="0"/>
                <w:color w:val="000000"/>
                <w:sz w:val="21"/>
                <w:szCs w:val="21"/>
              </w:rPr>
            </w:pPr>
            <w:r>
              <w:rPr>
                <w:rFonts w:hint="eastAsia" w:ascii="宋体" w:hAnsi="宋体" w:eastAsia="宋体" w:cs="宋体"/>
                <w:snapToGrid w:val="0"/>
                <w:color w:val="000000"/>
                <w:sz w:val="21"/>
                <w:szCs w:val="21"/>
              </w:rPr>
              <w:t>文本一式</w:t>
            </w:r>
            <w:r>
              <w:rPr>
                <w:rFonts w:hint="eastAsia" w:cs="宋体"/>
                <w:snapToGrid w:val="0"/>
                <w:color w:val="000000"/>
                <w:sz w:val="21"/>
                <w:szCs w:val="21"/>
                <w:lang w:val="en-US" w:eastAsia="zh-CN"/>
              </w:rPr>
              <w:t>叁</w:t>
            </w:r>
            <w:r>
              <w:rPr>
                <w:rFonts w:hint="eastAsia" w:ascii="宋体" w:hAnsi="宋体" w:eastAsia="宋体" w:cs="宋体"/>
                <w:snapToGrid w:val="0"/>
                <w:color w:val="000000"/>
                <w:sz w:val="21"/>
                <w:szCs w:val="21"/>
              </w:rPr>
              <w:t>份，壹份正本，</w:t>
            </w:r>
            <w:r>
              <w:rPr>
                <w:rFonts w:hint="eastAsia" w:cs="宋体"/>
                <w:snapToGrid w:val="0"/>
                <w:color w:val="000000"/>
                <w:sz w:val="21"/>
                <w:szCs w:val="21"/>
                <w:lang w:val="en-US" w:eastAsia="zh-CN"/>
              </w:rPr>
              <w:t>贰</w:t>
            </w:r>
            <w:r>
              <w:rPr>
                <w:rFonts w:hint="eastAsia" w:ascii="宋体" w:hAnsi="宋体" w:eastAsia="宋体" w:cs="宋体"/>
                <w:snapToGrid w:val="0"/>
                <w:color w:val="000000"/>
                <w:sz w:val="21"/>
                <w:szCs w:val="21"/>
              </w:rPr>
              <w:t>份副本，</w:t>
            </w:r>
          </w:p>
          <w:p>
            <w:pPr>
              <w:spacing w:line="460" w:lineRule="exact"/>
              <w:rPr>
                <w:rFonts w:ascii="宋体" w:hAnsi="宋体" w:eastAsia="宋体" w:cs="宋体"/>
                <w:b/>
                <w:color w:val="000000"/>
                <w:sz w:val="21"/>
                <w:szCs w:val="21"/>
              </w:rPr>
            </w:pPr>
            <w:r>
              <w:rPr>
                <w:rFonts w:hint="eastAsia" w:ascii="宋体" w:hAnsi="宋体" w:eastAsia="宋体" w:cs="宋体"/>
                <w:snapToGrid w:val="0"/>
                <w:color w:val="000000"/>
                <w:sz w:val="21"/>
                <w:szCs w:val="21"/>
              </w:rPr>
              <w:t>电子版（U盘形式）壹份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10</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磋商文件递交地点</w:t>
            </w:r>
          </w:p>
        </w:tc>
        <w:tc>
          <w:tcPr>
            <w:tcW w:w="6389" w:type="dxa"/>
            <w:vAlign w:val="center"/>
          </w:tcPr>
          <w:p>
            <w:pPr>
              <w:spacing w:line="360" w:lineRule="exact"/>
              <w:rPr>
                <w:rFonts w:ascii="宋体" w:hAnsi="宋体" w:eastAsia="宋体" w:cs="宋体"/>
                <w:color w:val="000000"/>
                <w:sz w:val="21"/>
                <w:szCs w:val="21"/>
              </w:rPr>
            </w:pPr>
            <w:r>
              <w:rPr>
                <w:rFonts w:hint="eastAsia" w:ascii="宋体" w:hAnsi="宋体" w:eastAsia="宋体" w:cs="宋体"/>
                <w:color w:val="000000"/>
                <w:sz w:val="21"/>
                <w:szCs w:val="21"/>
              </w:rPr>
              <w:t>湖北峰锐溪工程项目管理有限公司开标室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11</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磋商文件递交截止时间</w:t>
            </w:r>
          </w:p>
        </w:tc>
        <w:tc>
          <w:tcPr>
            <w:tcW w:w="6389" w:type="dxa"/>
            <w:vAlign w:val="center"/>
          </w:tcPr>
          <w:p>
            <w:pPr>
              <w:spacing w:line="460" w:lineRule="exact"/>
              <w:rPr>
                <w:rFonts w:ascii="宋体" w:hAnsi="宋体" w:eastAsia="宋体" w:cs="宋体"/>
                <w:color w:val="000000"/>
                <w:sz w:val="21"/>
                <w:szCs w:val="21"/>
              </w:rPr>
            </w:pPr>
            <w:r>
              <w:rPr>
                <w:rFonts w:hint="eastAsia" w:cs="宋体"/>
                <w:color w:val="000000"/>
                <w:sz w:val="21"/>
                <w:szCs w:val="21"/>
                <w:u w:val="single"/>
                <w:lang w:eastAsia="zh-CN"/>
              </w:rPr>
              <w:t>2020年07月29日14时30分</w:t>
            </w:r>
            <w:r>
              <w:rPr>
                <w:rFonts w:hint="eastAsia" w:ascii="宋体" w:hAnsi="宋体" w:eastAsia="宋体" w:cs="宋体"/>
                <w:color w:val="000000"/>
                <w:sz w:val="21"/>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12</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磋商时间</w:t>
            </w:r>
          </w:p>
        </w:tc>
        <w:tc>
          <w:tcPr>
            <w:tcW w:w="6389" w:type="dxa"/>
            <w:vAlign w:val="center"/>
          </w:tcPr>
          <w:p>
            <w:pPr>
              <w:spacing w:line="460" w:lineRule="exact"/>
              <w:rPr>
                <w:rFonts w:ascii="宋体" w:hAnsi="宋体" w:eastAsia="宋体" w:cs="宋体"/>
                <w:color w:val="000000"/>
                <w:sz w:val="21"/>
                <w:szCs w:val="21"/>
              </w:rPr>
            </w:pPr>
            <w:r>
              <w:rPr>
                <w:rFonts w:hint="eastAsia" w:cs="宋体"/>
                <w:color w:val="000000"/>
                <w:sz w:val="21"/>
                <w:szCs w:val="21"/>
                <w:u w:val="single"/>
                <w:lang w:eastAsia="zh-CN"/>
              </w:rPr>
              <w:t>2020年07月29日14时30分</w:t>
            </w:r>
            <w:r>
              <w:rPr>
                <w:rFonts w:hint="eastAsia" w:ascii="宋体" w:hAnsi="宋体" w:eastAsia="宋体" w:cs="宋体"/>
                <w:color w:val="000000"/>
                <w:sz w:val="21"/>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13</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磋商地点</w:t>
            </w:r>
          </w:p>
        </w:tc>
        <w:tc>
          <w:tcPr>
            <w:tcW w:w="6389" w:type="dxa"/>
            <w:vAlign w:val="center"/>
          </w:tcPr>
          <w:p>
            <w:pPr>
              <w:spacing w:line="360" w:lineRule="exact"/>
              <w:rPr>
                <w:rFonts w:ascii="宋体" w:hAnsi="宋体" w:eastAsia="宋体" w:cs="宋体"/>
                <w:color w:val="000000"/>
                <w:sz w:val="21"/>
                <w:szCs w:val="21"/>
              </w:rPr>
            </w:pPr>
            <w:r>
              <w:rPr>
                <w:rFonts w:hint="eastAsia" w:ascii="宋体" w:hAnsi="宋体" w:eastAsia="宋体" w:cs="宋体"/>
                <w:color w:val="000000"/>
                <w:sz w:val="21"/>
                <w:szCs w:val="21"/>
              </w:rPr>
              <w:t xml:space="preserve">湖北峰锐溪工程项目管理有限公司开标室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14</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磋商方法及标准</w:t>
            </w:r>
          </w:p>
        </w:tc>
        <w:tc>
          <w:tcPr>
            <w:tcW w:w="6389" w:type="dxa"/>
            <w:vAlign w:val="center"/>
          </w:tcPr>
          <w:p>
            <w:pPr>
              <w:spacing w:line="460" w:lineRule="exact"/>
              <w:rPr>
                <w:rFonts w:ascii="宋体" w:hAnsi="宋体" w:eastAsia="宋体" w:cs="宋体"/>
                <w:color w:val="000000"/>
                <w:sz w:val="21"/>
                <w:szCs w:val="21"/>
              </w:rPr>
            </w:pPr>
            <w:r>
              <w:rPr>
                <w:rFonts w:hint="eastAsia" w:ascii="宋体" w:hAnsi="宋体" w:eastAsia="宋体" w:cs="宋体"/>
                <w:color w:val="000000"/>
                <w:sz w:val="21"/>
                <w:szCs w:val="21"/>
              </w:rPr>
              <w:t>详见第二章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15</w:t>
            </w:r>
          </w:p>
        </w:tc>
        <w:tc>
          <w:tcPr>
            <w:tcW w:w="2421" w:type="dxa"/>
            <w:vAlign w:val="center"/>
          </w:tcPr>
          <w:p>
            <w:pPr>
              <w:widowControl/>
              <w:spacing w:line="300" w:lineRule="exact"/>
              <w:jc w:val="center"/>
              <w:rPr>
                <w:rFonts w:ascii="宋体" w:hAnsi="宋体" w:eastAsia="宋体" w:cs="宋体"/>
                <w:bCs/>
                <w:color w:val="000000"/>
                <w:sz w:val="21"/>
                <w:szCs w:val="21"/>
              </w:rPr>
            </w:pPr>
            <w:r>
              <w:rPr>
                <w:rFonts w:hint="eastAsia" w:ascii="宋体" w:hAnsi="宋体" w:eastAsia="宋体" w:cs="宋体"/>
                <w:bCs/>
                <w:color w:val="000000"/>
                <w:sz w:val="21"/>
                <w:szCs w:val="21"/>
              </w:rPr>
              <w:t>成交原则</w:t>
            </w:r>
          </w:p>
        </w:tc>
        <w:tc>
          <w:tcPr>
            <w:tcW w:w="6389" w:type="dxa"/>
            <w:vAlign w:val="center"/>
          </w:tcPr>
          <w:p>
            <w:pPr>
              <w:spacing w:line="460" w:lineRule="exact"/>
              <w:rPr>
                <w:rFonts w:ascii="宋体" w:hAnsi="宋体" w:eastAsia="宋体" w:cs="宋体"/>
                <w:color w:val="000000"/>
                <w:sz w:val="21"/>
                <w:szCs w:val="21"/>
              </w:rPr>
            </w:pPr>
            <w:r>
              <w:rPr>
                <w:rFonts w:hint="eastAsia" w:ascii="宋体" w:hAnsi="宋体" w:eastAsia="宋体" w:cs="宋体"/>
                <w:color w:val="000000"/>
                <w:sz w:val="21"/>
                <w:szCs w:val="21"/>
              </w:rPr>
              <w:t>采购人按照磋商委员会推荐的成交候选人，依排名顺序，依法依序确定成交人。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08"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16</w:t>
            </w:r>
          </w:p>
        </w:tc>
        <w:tc>
          <w:tcPr>
            <w:tcW w:w="2421" w:type="dxa"/>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成交办法</w:t>
            </w:r>
          </w:p>
        </w:tc>
        <w:tc>
          <w:tcPr>
            <w:tcW w:w="6389" w:type="dxa"/>
            <w:vAlign w:val="center"/>
          </w:tcPr>
          <w:p>
            <w:pPr>
              <w:spacing w:line="460" w:lineRule="exact"/>
              <w:rPr>
                <w:rFonts w:ascii="宋体" w:hAnsi="宋体" w:eastAsia="宋体" w:cs="宋体"/>
                <w:color w:val="000000"/>
                <w:sz w:val="21"/>
                <w:szCs w:val="21"/>
              </w:rPr>
            </w:pPr>
            <w:r>
              <w:rPr>
                <w:rFonts w:hint="eastAsia" w:ascii="宋体" w:hAnsi="宋体" w:eastAsia="宋体" w:cs="宋体"/>
                <w:color w:val="000000"/>
                <w:sz w:val="21"/>
                <w:szCs w:val="21"/>
              </w:rPr>
              <w:t>见磋商文件第</w:t>
            </w:r>
            <w:r>
              <w:rPr>
                <w:rFonts w:hint="eastAsia" w:ascii="宋体" w:hAnsi="宋体" w:eastAsia="宋体" w:cs="宋体"/>
                <w:color w:val="000000"/>
                <w:sz w:val="21"/>
                <w:szCs w:val="21"/>
                <w:lang w:val="en-US" w:eastAsia="zh-CN"/>
              </w:rPr>
              <w:t>四</w:t>
            </w:r>
            <w:r>
              <w:rPr>
                <w:rFonts w:hint="eastAsia" w:ascii="宋体" w:hAnsi="宋体" w:eastAsia="宋体" w:cs="宋体"/>
                <w:color w:val="000000"/>
                <w:sz w:val="21"/>
                <w:szCs w:val="21"/>
              </w:rPr>
              <w:t>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17</w:t>
            </w:r>
          </w:p>
        </w:tc>
        <w:tc>
          <w:tcPr>
            <w:tcW w:w="2421"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eastAsia="宋体" w:cs="宋体"/>
                <w:color w:val="000000"/>
                <w:sz w:val="21"/>
                <w:szCs w:val="21"/>
              </w:rPr>
            </w:pPr>
            <w:r>
              <w:rPr>
                <w:rFonts w:hint="eastAsia" w:ascii="宋体" w:hAnsi="宋体" w:eastAsia="宋体" w:cs="宋体"/>
                <w:color w:val="000000"/>
                <w:sz w:val="21"/>
                <w:szCs w:val="21"/>
              </w:rPr>
              <w:t>代理费</w:t>
            </w:r>
          </w:p>
        </w:tc>
        <w:tc>
          <w:tcPr>
            <w:tcW w:w="6389" w:type="dxa"/>
            <w:tcBorders>
              <w:top w:val="single" w:color="auto" w:sz="4" w:space="0"/>
              <w:left w:val="single" w:color="auto" w:sz="4" w:space="0"/>
              <w:bottom w:val="single" w:color="auto" w:sz="4" w:space="0"/>
              <w:right w:val="single" w:color="auto" w:sz="4" w:space="0"/>
            </w:tcBorders>
            <w:vAlign w:val="center"/>
          </w:tcPr>
          <w:p>
            <w:pPr>
              <w:spacing w:line="460" w:lineRule="exact"/>
              <w:rPr>
                <w:rFonts w:ascii="宋体" w:hAnsi="宋体" w:eastAsia="宋体" w:cs="宋体"/>
                <w:color w:val="000000"/>
                <w:sz w:val="21"/>
                <w:szCs w:val="21"/>
              </w:rPr>
            </w:pPr>
            <w:r>
              <w:rPr>
                <w:rFonts w:hint="eastAsia" w:ascii="宋体" w:hAnsi="宋体" w:eastAsia="宋体" w:cs="宋体"/>
                <w:color w:val="000000"/>
                <w:sz w:val="21"/>
                <w:szCs w:val="21"/>
              </w:rPr>
              <w:t>中标的投标人应按《招标代理服务收费管理暂行办法》计价格[2002]1980号文的规定，向采购代理机构支付中标服务费。</w:t>
            </w:r>
          </w:p>
        </w:tc>
      </w:tr>
    </w:tbl>
    <w:p>
      <w:pPr>
        <w:pStyle w:val="5"/>
        <w:tabs>
          <w:tab w:val="left" w:pos="864"/>
        </w:tabs>
        <w:spacing w:line="360" w:lineRule="auto"/>
        <w:ind w:left="0" w:leftChars="0" w:right="320" w:firstLine="441" w:firstLineChars="183"/>
        <w:rPr>
          <w:rFonts w:ascii="宋体" w:hAnsi="宋体" w:cs="宋体"/>
          <w:color w:val="000000"/>
          <w:sz w:val="24"/>
          <w:szCs w:val="24"/>
        </w:rPr>
      </w:pPr>
      <w:bookmarkStart w:id="6" w:name="_Toc25340"/>
      <w:r>
        <w:rPr>
          <w:rFonts w:hint="eastAsia" w:ascii="宋体" w:hAnsi="宋体" w:cs="宋体"/>
          <w:color w:val="000000"/>
          <w:sz w:val="24"/>
          <w:szCs w:val="24"/>
        </w:rPr>
        <w:t>一、总则</w:t>
      </w:r>
      <w:bookmarkEnd w:id="6"/>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1．适用范围</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1．1  本文件仅适用于文件中所叙述的工程、货物、服务类采购项目。</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2．定义</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2．1  “采购人”是指：</w:t>
      </w:r>
      <w:r>
        <w:rPr>
          <w:rFonts w:hint="eastAsia" w:ascii="宋体" w:hAnsi="宋体" w:eastAsia="宋体" w:cs="宋体"/>
          <w:color w:val="000000"/>
          <w:sz w:val="24"/>
          <w:szCs w:val="24"/>
          <w:lang w:val="zh-CN"/>
        </w:rPr>
        <w:t>武汉江夏经济开发区管理委员会</w:t>
      </w:r>
      <w:r>
        <w:rPr>
          <w:rFonts w:hint="eastAsia" w:ascii="宋体" w:hAnsi="宋体" w:eastAsia="宋体" w:cs="宋体"/>
          <w:color w:val="000000"/>
          <w:sz w:val="24"/>
          <w:szCs w:val="24"/>
        </w:rPr>
        <w:t xml:space="preserve"> </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2．2  “采购代理机构”是指：湖北峰锐溪工程项目管理有限公司</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 3  “监管部门”是指：武汉市江夏区政府采购办公室</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2．4  “投标人”是指响应本文件要求，参加磋商的法人或者其他组织。如果该投标人在本次磋商中成交，即成为“成交投标人”。</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2．5  “工程”是指建设工程，包括建筑物和构筑物的新建、改建、扩建、装修、拆除、修缮等。</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2．6  “货物”是指各种形态和种类的物品，包括原材料、燃料、设备、产品等。</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2．7  “服务”是指除货物和工程以外的其他采购对象。</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2．8  “磋商响应文件”是指：投标人根据本文件要求，编制包含工程施工报价、技术和服务等所有内容的磋商响应文件。</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3．投标人的基本条件</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详见第一章磋商邀请函</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4．磋商费用</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4．1  投标人应自行承担所有与编写和提交磋商响应文件有关的费用及投标其他有关的费用，不论磋商结果如何，采购人和湖北峰锐溪工程项目管理有限公司在任何情况下无义务和责任承担此类费用。</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 xml:space="preserve">4．2中标的投标人应按《招标代理服务收费管理暂行办法》计价格[2002]1980号文的规定，向采购代理机构支付中标服务费。 </w:t>
      </w:r>
    </w:p>
    <w:p>
      <w:pPr>
        <w:pStyle w:val="5"/>
        <w:tabs>
          <w:tab w:val="left" w:pos="864"/>
        </w:tabs>
        <w:spacing w:line="360" w:lineRule="auto"/>
        <w:ind w:left="0" w:leftChars="0" w:right="320" w:firstLine="441" w:firstLineChars="183"/>
        <w:rPr>
          <w:rFonts w:ascii="宋体" w:hAnsi="宋体" w:cs="宋体"/>
          <w:color w:val="000000"/>
          <w:sz w:val="24"/>
          <w:szCs w:val="24"/>
        </w:rPr>
      </w:pPr>
      <w:bookmarkStart w:id="7" w:name="_Toc32149"/>
      <w:r>
        <w:rPr>
          <w:rFonts w:hint="eastAsia" w:ascii="宋体" w:hAnsi="宋体" w:cs="宋体"/>
          <w:color w:val="000000"/>
          <w:sz w:val="24"/>
          <w:szCs w:val="24"/>
        </w:rPr>
        <w:t>二、磋商响应文件的编制</w:t>
      </w:r>
      <w:bookmarkEnd w:id="7"/>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1．磋商响应文件编制基本要求</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 xml:space="preserve">2．1  </w:t>
      </w:r>
      <w:r>
        <w:rPr>
          <w:rFonts w:hint="eastAsia" w:ascii="宋体" w:hAnsi="宋体" w:eastAsia="宋体" w:cs="宋体"/>
          <w:b/>
          <w:color w:val="000000"/>
          <w:sz w:val="24"/>
          <w:szCs w:val="24"/>
        </w:rPr>
        <w:t>投标人对磋商响应文件的编制应按要求装订和封装。</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2．2  投标人提交的磋商响应文件以及投标人与湖北峰锐溪工程项目管理有限公司和采购人就有关磋商的所有来往函电均应使用中文。投标人提交的支持文件和印刷的文献可以使用别的语言，但其相应内容必须附有中文翻译文本，在解释磋商响应文件时以翻译文本为主。</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2．3  投标人应认真阅读、并充分理解本文件的全部内容（包括所有的补充、修改内容），承诺并履行本文件中各项条款规定及要求。</w:t>
      </w:r>
    </w:p>
    <w:p>
      <w:pPr>
        <w:spacing w:line="360" w:lineRule="auto"/>
        <w:ind w:left="0" w:leftChars="0" w:firstLine="439" w:firstLineChars="183"/>
        <w:rPr>
          <w:rFonts w:ascii="宋体" w:hAnsi="宋体" w:eastAsia="宋体" w:cs="宋体"/>
          <w:color w:val="000000"/>
          <w:spacing w:val="-4"/>
          <w:sz w:val="24"/>
          <w:szCs w:val="24"/>
        </w:rPr>
      </w:pPr>
      <w:r>
        <w:rPr>
          <w:rFonts w:hint="eastAsia" w:ascii="宋体" w:hAnsi="宋体" w:eastAsia="宋体" w:cs="宋体"/>
          <w:color w:val="000000"/>
          <w:sz w:val="24"/>
          <w:szCs w:val="24"/>
        </w:rPr>
        <w:t xml:space="preserve">2．4  </w:t>
      </w:r>
      <w:r>
        <w:rPr>
          <w:rFonts w:hint="eastAsia" w:ascii="宋体" w:hAnsi="宋体" w:eastAsia="宋体" w:cs="宋体"/>
          <w:color w:val="000000"/>
          <w:spacing w:val="-4"/>
          <w:sz w:val="24"/>
          <w:szCs w:val="24"/>
        </w:rPr>
        <w:t>磋商响应文件必须按本文件的全部内容，包括所有的补充通知及附件进行编制。</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2．5  如因投标人只填写和提供了本文件要求的部分内容和附件，而给评审造成困难，其可能导致的结果和责任由投标人自行承担。</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2．6  磋商响应文件的组成</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磋商响应文件应分为价格文件和商务技术文件二个部分组成。</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投标人编写的磋商响应文件应包括但不限于下列部分：</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价格文件</w:t>
      </w:r>
    </w:p>
    <w:p>
      <w:pPr>
        <w:numPr>
          <w:ilvl w:val="0"/>
          <w:numId w:val="2"/>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报价表；</w:t>
      </w:r>
    </w:p>
    <w:p>
      <w:pPr>
        <w:numPr>
          <w:ilvl w:val="0"/>
          <w:numId w:val="2"/>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分项报价表；</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商务技术文件（应该有的必须提供，如未提供，磋商小组有权拒绝其磋商响应文件）</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磋商书；</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法定代表人授权书原件；</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营业执照；</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其它文件；</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提供切实可行的服务方案和优惠承诺；</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技术书；</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相关承诺；</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技术响应、偏离情况说明表；</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投标人拟派项目人员配备情况；</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项目实施进度安排及保障措施；</w:t>
      </w:r>
    </w:p>
    <w:p>
      <w:pPr>
        <w:numPr>
          <w:ilvl w:val="0"/>
          <w:numId w:val="3"/>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投标人认为需要提供的有关资料。</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3．计量单位</w:t>
      </w:r>
    </w:p>
    <w:p>
      <w:pPr>
        <w:spacing w:line="360" w:lineRule="auto"/>
        <w:ind w:left="0" w:leftChars="0" w:firstLine="439" w:firstLineChars="183"/>
        <w:rPr>
          <w:rFonts w:ascii="宋体" w:hAnsi="宋体" w:eastAsia="宋体" w:cs="宋体"/>
          <w:color w:val="000000"/>
          <w:spacing w:val="-4"/>
          <w:sz w:val="24"/>
          <w:szCs w:val="24"/>
        </w:rPr>
      </w:pPr>
      <w:r>
        <w:rPr>
          <w:rFonts w:hint="eastAsia" w:ascii="宋体" w:hAnsi="宋体" w:eastAsia="宋体" w:cs="宋体"/>
          <w:color w:val="000000"/>
          <w:sz w:val="24"/>
          <w:szCs w:val="24"/>
        </w:rPr>
        <w:t xml:space="preserve">3．1  </w:t>
      </w:r>
      <w:r>
        <w:rPr>
          <w:rFonts w:hint="eastAsia" w:ascii="宋体" w:hAnsi="宋体" w:eastAsia="宋体" w:cs="宋体"/>
          <w:color w:val="000000"/>
          <w:spacing w:val="-4"/>
          <w:sz w:val="24"/>
          <w:szCs w:val="24"/>
        </w:rPr>
        <w:t>除技术要求中另有规定外，本文件所要求使用的计量单位均应采用国家法定计量单位。</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4．没有实质性响应磋商文件要求的磋商将被磋商小组拒绝，磋商投标人不得通过修正或撤消不合要求的偏离或保留从而使其磋商成为实质性响应的磋商。如发现下列情形之一的，其投标将被拒绝：</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磋商投标人授权代表参与磋商时未能出示有效的身份证；</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磋商报价总金额超过本项目采购总预算，采购人不能支付的；</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磋商投标人的投标书或资格证明文件未提供或不符合竞争性磋商文件要求的；</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超出经营范围投标的；</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磋商响应文件无法定代表人签字或签字人无法定代表人有效授权的；</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有不良经济纠纷记录和违法行为的；</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响应时间不能满足采购人要求的；</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报价低于成本价的；（磋商小组经过评审，发现任何磋商投标人的报价明显低于其他投标人，并偏差很大，磋商小组认为必要时应对投标人进行质询，且投标人不能合理说明其报价没有低于成本，则磋商小组会有权判定其报价低于成本。）</w:t>
      </w:r>
    </w:p>
    <w:p>
      <w:pPr>
        <w:numPr>
          <w:ilvl w:val="0"/>
          <w:numId w:val="4"/>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不符合磋商文件规定的其他实质性要求的。</w:t>
      </w:r>
    </w:p>
    <w:p>
      <w:pPr>
        <w:pStyle w:val="5"/>
        <w:tabs>
          <w:tab w:val="left" w:pos="720"/>
        </w:tabs>
        <w:spacing w:line="360" w:lineRule="auto"/>
        <w:ind w:left="0" w:leftChars="0" w:right="320" w:firstLine="441" w:firstLineChars="183"/>
        <w:rPr>
          <w:rFonts w:ascii="宋体" w:hAnsi="宋体" w:cs="宋体"/>
          <w:color w:val="000000"/>
          <w:sz w:val="24"/>
          <w:szCs w:val="24"/>
        </w:rPr>
      </w:pPr>
      <w:bookmarkStart w:id="8" w:name="_Toc5051"/>
      <w:r>
        <w:rPr>
          <w:rFonts w:hint="eastAsia" w:ascii="宋体" w:hAnsi="宋体" w:cs="宋体"/>
          <w:color w:val="000000"/>
          <w:sz w:val="24"/>
          <w:szCs w:val="24"/>
        </w:rPr>
        <w:t>三、磋商报价要求</w:t>
      </w:r>
      <w:bookmarkEnd w:id="8"/>
    </w:p>
    <w:p>
      <w:pPr>
        <w:spacing w:line="360" w:lineRule="auto"/>
        <w:ind w:left="0" w:leftChars="0" w:firstLine="439" w:firstLineChars="183"/>
        <w:rPr>
          <w:rFonts w:ascii="宋体" w:hAnsi="宋体" w:eastAsia="宋体" w:cs="宋体"/>
          <w:b/>
          <w:color w:val="000000"/>
          <w:sz w:val="24"/>
          <w:szCs w:val="24"/>
        </w:rPr>
      </w:pPr>
      <w:r>
        <w:rPr>
          <w:rFonts w:hint="eastAsia" w:ascii="宋体" w:hAnsi="宋体" w:eastAsia="宋体" w:cs="宋体"/>
          <w:color w:val="000000"/>
          <w:sz w:val="24"/>
          <w:szCs w:val="24"/>
        </w:rPr>
        <w:t>1．对于本文件中未列明，而磋商投标人认为必需的费用也需列入总报价。在合同实施时，采购人将不予支付成交投标人没有列入的项目费用，并认为此项目的费用已包括在总报价中。</w:t>
      </w:r>
    </w:p>
    <w:p>
      <w:pPr>
        <w:pStyle w:val="5"/>
        <w:spacing w:line="360" w:lineRule="auto"/>
        <w:ind w:left="0" w:leftChars="0" w:right="320" w:firstLine="441" w:firstLineChars="183"/>
        <w:rPr>
          <w:rFonts w:ascii="宋体" w:hAnsi="宋体" w:cs="宋体"/>
          <w:color w:val="000000"/>
          <w:sz w:val="24"/>
          <w:szCs w:val="24"/>
        </w:rPr>
      </w:pPr>
      <w:bookmarkStart w:id="9" w:name="_Toc17767"/>
      <w:r>
        <w:rPr>
          <w:rFonts w:hint="eastAsia" w:ascii="宋体" w:hAnsi="宋体" w:cs="宋体"/>
          <w:color w:val="000000"/>
          <w:sz w:val="24"/>
          <w:szCs w:val="24"/>
        </w:rPr>
        <w:t>四、磋商响应文件的份数、封装和递交</w:t>
      </w:r>
      <w:bookmarkEnd w:id="9"/>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1．磋商响应文件的份数和封装</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1．1  磋商投标人递交的磋商响应文件中应包含“价格文件”和“商务技术文件”两个部分，磋商响应文件一式</w:t>
      </w:r>
      <w:r>
        <w:rPr>
          <w:rFonts w:hint="eastAsia" w:cs="宋体"/>
          <w:color w:val="000000"/>
          <w:sz w:val="24"/>
          <w:szCs w:val="24"/>
          <w:lang w:val="en-US" w:eastAsia="zh-CN"/>
        </w:rPr>
        <w:t>叁</w:t>
      </w:r>
      <w:r>
        <w:rPr>
          <w:rFonts w:hint="eastAsia" w:ascii="宋体" w:hAnsi="宋体" w:eastAsia="宋体" w:cs="宋体"/>
          <w:color w:val="000000"/>
          <w:sz w:val="24"/>
          <w:szCs w:val="24"/>
        </w:rPr>
        <w:t>份，其中正本壹份，副本</w:t>
      </w:r>
      <w:r>
        <w:rPr>
          <w:rFonts w:hint="eastAsia" w:cs="宋体"/>
          <w:color w:val="000000"/>
          <w:sz w:val="24"/>
          <w:szCs w:val="24"/>
          <w:lang w:val="en-US" w:eastAsia="zh-CN"/>
        </w:rPr>
        <w:t>贰</w:t>
      </w:r>
      <w:r>
        <w:rPr>
          <w:rFonts w:hint="eastAsia" w:ascii="宋体" w:hAnsi="宋体" w:eastAsia="宋体" w:cs="宋体"/>
          <w:color w:val="000000"/>
          <w:sz w:val="24"/>
          <w:szCs w:val="24"/>
        </w:rPr>
        <w:t>份。</w:t>
      </w:r>
      <w:r>
        <w:rPr>
          <w:rFonts w:hint="eastAsia" w:ascii="宋体" w:hAnsi="宋体" w:eastAsia="宋体" w:cs="宋体"/>
          <w:b/>
          <w:color w:val="000000"/>
          <w:sz w:val="24"/>
          <w:szCs w:val="24"/>
        </w:rPr>
        <w:t>（本次磋商，磋商投标人须提供磋商响应文件的电子版本（U盘），磋商响应文件的电子版本须随磋商响应文件一起密封提交，磋商响应文件必须为胶装。为方便开标唱标，投标人应另准备投标函及开标一览表正本各一份单独密封提交）。</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1．2  磋商响应文件的信封上应写明：</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1）磋商项目编号；</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2）磋商项目名称；</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3）磋商投标人名称。</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2．磋商响应文件的递交</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2．1  所有磋商响应文件应于“第一章磋商邀请函”中规定的时间前密封递交到湖北峰锐溪工程项目管理有限公司开标室。</w:t>
      </w:r>
      <w:r>
        <w:rPr>
          <w:rFonts w:hint="eastAsia" w:ascii="宋体" w:hAnsi="宋体" w:eastAsia="宋体" w:cs="宋体"/>
          <w:b/>
          <w:color w:val="000000"/>
          <w:sz w:val="24"/>
          <w:szCs w:val="24"/>
          <w:u w:val="single"/>
        </w:rPr>
        <w:t>参加磋商的代表需携带法人授权书及有效身份证原件证明出席磋商会议，报价表与授权书密封与磋商响应文件同时提交。</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3．迟交的磋商响应文件</w:t>
      </w:r>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按《政府采购法》的规定，湖北峰锐溪工程项目管理有限公司将拒绝或原封退回在其规定的递交磋商响应文件截止时间之后收到的任何磋商响应文件。</w:t>
      </w:r>
    </w:p>
    <w:p>
      <w:pPr>
        <w:pStyle w:val="5"/>
        <w:tabs>
          <w:tab w:val="left" w:pos="864"/>
        </w:tabs>
        <w:spacing w:line="360" w:lineRule="auto"/>
        <w:ind w:left="0" w:leftChars="0" w:right="320" w:firstLine="441" w:firstLineChars="183"/>
        <w:rPr>
          <w:rFonts w:ascii="宋体" w:hAnsi="宋体" w:cs="宋体"/>
          <w:color w:val="000000"/>
          <w:sz w:val="24"/>
          <w:szCs w:val="24"/>
        </w:rPr>
      </w:pPr>
      <w:bookmarkStart w:id="10" w:name="_Toc8762"/>
      <w:r>
        <w:rPr>
          <w:rFonts w:hint="eastAsia" w:ascii="宋体" w:hAnsi="宋体" w:cs="宋体"/>
          <w:color w:val="000000"/>
          <w:sz w:val="24"/>
          <w:szCs w:val="24"/>
        </w:rPr>
        <w:t>五、磋商程序</w:t>
      </w:r>
      <w:bookmarkEnd w:id="10"/>
    </w:p>
    <w:p>
      <w:pPr>
        <w:numPr>
          <w:ilvl w:val="0"/>
          <w:numId w:val="5"/>
        </w:numPr>
        <w:spacing w:line="360" w:lineRule="auto"/>
        <w:ind w:left="0" w:leftChars="0" w:firstLine="441" w:firstLineChars="183"/>
        <w:rPr>
          <w:rFonts w:ascii="宋体" w:hAnsi="宋体" w:eastAsia="宋体" w:cs="宋体"/>
          <w:b/>
          <w:bCs/>
          <w:color w:val="000000"/>
          <w:sz w:val="24"/>
          <w:szCs w:val="24"/>
        </w:rPr>
      </w:pPr>
      <w:bookmarkStart w:id="11" w:name="_Toc416957211"/>
      <w:r>
        <w:rPr>
          <w:rFonts w:hint="eastAsia" w:ascii="宋体" w:hAnsi="宋体" w:eastAsia="宋体" w:cs="宋体"/>
          <w:b/>
          <w:bCs/>
          <w:color w:val="000000"/>
          <w:sz w:val="24"/>
          <w:szCs w:val="24"/>
        </w:rPr>
        <w:t>磋商小组</w:t>
      </w:r>
      <w:bookmarkEnd w:id="11"/>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磋商小组由采购代理机构组建，磋商小组由</w:t>
      </w:r>
      <w:r>
        <w:rPr>
          <w:rFonts w:hint="eastAsia" w:ascii="宋体" w:hAnsi="宋体" w:eastAsia="宋体" w:cs="宋体"/>
          <w:color w:val="000000"/>
          <w:sz w:val="24"/>
          <w:szCs w:val="24"/>
          <w:u w:val="single"/>
        </w:rPr>
        <w:t xml:space="preserve"> 5 </w:t>
      </w:r>
      <w:r>
        <w:rPr>
          <w:rFonts w:hint="eastAsia" w:ascii="宋体" w:hAnsi="宋体" w:eastAsia="宋体" w:cs="宋体"/>
          <w:color w:val="000000"/>
          <w:sz w:val="24"/>
          <w:szCs w:val="24"/>
        </w:rPr>
        <w:t>人组成，从专家库中随机抽取经济、技术专家。</w:t>
      </w:r>
    </w:p>
    <w:p>
      <w:pPr>
        <w:numPr>
          <w:ilvl w:val="0"/>
          <w:numId w:val="5"/>
        </w:numPr>
        <w:spacing w:line="360" w:lineRule="auto"/>
        <w:ind w:left="0" w:leftChars="0" w:firstLine="441" w:firstLineChars="183"/>
        <w:rPr>
          <w:rFonts w:ascii="宋体" w:hAnsi="宋体" w:eastAsia="宋体" w:cs="宋体"/>
          <w:b/>
          <w:bCs/>
          <w:color w:val="000000"/>
          <w:sz w:val="24"/>
          <w:szCs w:val="24"/>
        </w:rPr>
      </w:pPr>
      <w:bookmarkStart w:id="12" w:name="_Toc335203239"/>
      <w:bookmarkStart w:id="13" w:name="_Toc385324739"/>
      <w:bookmarkStart w:id="14" w:name="_Toc416957212"/>
      <w:bookmarkStart w:id="15" w:name="_Toc385944782"/>
      <w:r>
        <w:rPr>
          <w:rFonts w:hint="eastAsia" w:ascii="宋体" w:hAnsi="宋体" w:eastAsia="宋体" w:cs="宋体"/>
          <w:b/>
          <w:bCs/>
          <w:color w:val="000000"/>
          <w:sz w:val="24"/>
          <w:szCs w:val="24"/>
        </w:rPr>
        <w:t>磋商程序</w:t>
      </w:r>
      <w:bookmarkEnd w:id="12"/>
      <w:r>
        <w:rPr>
          <w:rFonts w:hint="eastAsia" w:ascii="宋体" w:hAnsi="宋体" w:eastAsia="宋体" w:cs="宋体"/>
          <w:b/>
          <w:bCs/>
          <w:color w:val="000000"/>
          <w:sz w:val="24"/>
          <w:szCs w:val="24"/>
        </w:rPr>
        <w:t>和方法</w:t>
      </w:r>
      <w:bookmarkEnd w:id="13"/>
      <w:bookmarkEnd w:id="14"/>
      <w:bookmarkEnd w:id="15"/>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本次采购为竞争性磋商采购。磋商投标人应派其授权代表持有效身份证件按采购书规定的时间递交磋商响应文件，并准备参加磋商。</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投标人应当在磋商文件要求的截止时间前，将响应文件密封送达指定地点。在截止时间后送达的响应文件为无效文件，采购人、采购代理机构或者磋商小组应当拒收。</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投标人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小组在对响应文件的有效性、完整性和响应程度进行审查时，可以要求投标人对响应文件中含义不明确、同类问题表述不一致或者有明显文字和计算错误的内容等作出必要的澄清、说明或者更正。投标人的澄清、说明或者更正不得超出响应文件的范围或者改变响应文件的实质性内容。</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磋商小组所有成员应当集中与单一投标人分别进行磋商，并给予所有参加磋商的投标人平等的磋商机会。</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磋商结束后，磋商小组应当按照少数服从多数的原则投票推荐3家及以上投标人的设计方案或者解决方案，并要求其在规定时间内提交最后报价。</w:t>
      </w:r>
    </w:p>
    <w:p>
      <w:pPr>
        <w:numPr>
          <w:ilvl w:val="0"/>
          <w:numId w:val="5"/>
        </w:numPr>
        <w:spacing w:line="360" w:lineRule="auto"/>
        <w:ind w:left="0" w:leftChars="0" w:firstLine="441" w:firstLineChars="183"/>
        <w:rPr>
          <w:rFonts w:ascii="宋体" w:hAnsi="宋体" w:eastAsia="宋体" w:cs="宋体"/>
          <w:b/>
          <w:bCs/>
          <w:color w:val="000000"/>
          <w:sz w:val="24"/>
          <w:szCs w:val="24"/>
        </w:rPr>
      </w:pPr>
      <w:bookmarkStart w:id="16" w:name="_Toc385944783"/>
      <w:bookmarkStart w:id="17" w:name="_Toc416957213"/>
      <w:r>
        <w:rPr>
          <w:rFonts w:hint="eastAsia" w:ascii="宋体" w:hAnsi="宋体" w:eastAsia="宋体" w:cs="宋体"/>
          <w:b/>
          <w:bCs/>
          <w:color w:val="000000"/>
          <w:sz w:val="24"/>
          <w:szCs w:val="24"/>
        </w:rPr>
        <w:t>磋商响应文件评审</w:t>
      </w:r>
      <w:bookmarkEnd w:id="16"/>
      <w:bookmarkEnd w:id="17"/>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磋商小组将依据磋商文件要求，对所有磋商响应文件进行评审，未实质性响应磋商文件的磋商响应文件按无效处理，磋商小组将告知磋商投标人。</w:t>
      </w:r>
    </w:p>
    <w:p>
      <w:pPr>
        <w:numPr>
          <w:ilvl w:val="0"/>
          <w:numId w:val="5"/>
        </w:numPr>
        <w:spacing w:line="360" w:lineRule="auto"/>
        <w:ind w:left="0" w:leftChars="0" w:firstLine="441" w:firstLineChars="183"/>
        <w:rPr>
          <w:rFonts w:ascii="宋体" w:hAnsi="宋体" w:eastAsia="宋体" w:cs="宋体"/>
          <w:b/>
          <w:bCs/>
          <w:color w:val="000000"/>
          <w:sz w:val="24"/>
          <w:szCs w:val="24"/>
        </w:rPr>
      </w:pPr>
      <w:bookmarkStart w:id="18" w:name="_Toc385944784"/>
      <w:bookmarkStart w:id="19" w:name="_Toc416957214"/>
      <w:r>
        <w:rPr>
          <w:rFonts w:hint="eastAsia" w:ascii="宋体" w:hAnsi="宋体" w:eastAsia="宋体" w:cs="宋体"/>
          <w:b/>
          <w:bCs/>
          <w:color w:val="000000"/>
          <w:sz w:val="24"/>
          <w:szCs w:val="24"/>
        </w:rPr>
        <w:t>抽签及参与</w:t>
      </w:r>
      <w:bookmarkEnd w:id="18"/>
      <w:r>
        <w:rPr>
          <w:rFonts w:hint="eastAsia" w:ascii="宋体" w:hAnsi="宋体" w:eastAsia="宋体" w:cs="宋体"/>
          <w:b/>
          <w:bCs/>
          <w:color w:val="000000"/>
          <w:sz w:val="24"/>
          <w:szCs w:val="24"/>
        </w:rPr>
        <w:t>磋商</w:t>
      </w:r>
      <w:bookmarkEnd w:id="19"/>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实质性响应磋商文件的投标人按所抽取的磋商顺序依次与磋商小组分别进行磋商。</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磋商小组将就磋商文件中的技术、服务要求等与投标人一一洽谈。</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磋商小组可以根据磋商文件和磋商情况实质性变动采购需求中的技术、服务要求，但不应改变磋商文件中的其他内容。实质性变动的内容，必须经采购人代表确认。</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对磋商文件作出实质性变动是磋商文件的有效组成部分，应当以书面形式同时通知所有参加磋商的投标人。</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结束后，磋商小组将要求不少于3家（如有国家相关法律法规除外）参加磋商的投标人在规定时间内提交最后报价，提交最后报价的投标人不少于3家（如有国家相关法律法规除外）。最后报价是投标人磋商响应文件的有效组成部分。</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已提交响应文件的投标人，在提交最后报价之前，可以根据情况退出磋商。磋商保证金将不会被没收。</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响应投标人的报价均超过了采购预算，采购人不能支付的，磋商活动终止。</w:t>
      </w:r>
    </w:p>
    <w:p>
      <w:pPr>
        <w:numPr>
          <w:ilvl w:val="0"/>
          <w:numId w:val="5"/>
        </w:numPr>
        <w:spacing w:line="360" w:lineRule="auto"/>
        <w:ind w:left="0" w:leftChars="0" w:firstLine="441" w:firstLineChars="183"/>
        <w:rPr>
          <w:rFonts w:ascii="宋体" w:hAnsi="宋体" w:eastAsia="宋体" w:cs="宋体"/>
          <w:b/>
          <w:bCs/>
          <w:color w:val="000000"/>
          <w:sz w:val="24"/>
          <w:szCs w:val="24"/>
        </w:rPr>
      </w:pPr>
      <w:bookmarkStart w:id="20" w:name="_Toc416957215"/>
      <w:bookmarkStart w:id="21" w:name="_Toc385944785"/>
      <w:bookmarkStart w:id="22" w:name="_Toc385324740"/>
      <w:bookmarkStart w:id="23" w:name="_Toc335203240"/>
      <w:r>
        <w:rPr>
          <w:rFonts w:hint="eastAsia" w:ascii="宋体" w:hAnsi="宋体" w:eastAsia="宋体" w:cs="宋体"/>
          <w:b/>
          <w:bCs/>
          <w:color w:val="000000"/>
          <w:sz w:val="24"/>
          <w:szCs w:val="24"/>
        </w:rPr>
        <w:t>确定成交候选人</w:t>
      </w:r>
      <w:bookmarkEnd w:id="20"/>
      <w:bookmarkEnd w:id="21"/>
      <w:bookmarkEnd w:id="22"/>
      <w:bookmarkEnd w:id="23"/>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经磋商确定最终采购需求和提交最后报价的投标人后，由磋商小组采用综合评分法对提交最后报价的投标人的响应文件和最后报价进行综合评分。</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磋商小组应当根据综合评分情况，按照评审得分由高到低顺序推荐3名以上（如有国家相关法律法规除外）成交候选投标人，并编写评审报告。</w:t>
      </w:r>
    </w:p>
    <w:p>
      <w:pPr>
        <w:spacing w:line="360" w:lineRule="auto"/>
        <w:ind w:left="0" w:leftChars="0" w:firstLine="441" w:firstLineChars="183"/>
        <w:rPr>
          <w:rFonts w:ascii="宋体" w:hAnsi="宋体" w:eastAsia="宋体" w:cs="宋体"/>
          <w:b/>
          <w:color w:val="000000"/>
          <w:sz w:val="24"/>
          <w:szCs w:val="24"/>
        </w:rPr>
      </w:pPr>
      <w:bookmarkStart w:id="24" w:name="_Toc416957217"/>
      <w:bookmarkStart w:id="25" w:name="_Toc477965459"/>
      <w:r>
        <w:rPr>
          <w:rFonts w:hint="eastAsia" w:ascii="宋体" w:hAnsi="宋体" w:eastAsia="宋体" w:cs="宋体"/>
          <w:b/>
          <w:color w:val="000000"/>
          <w:sz w:val="24"/>
          <w:szCs w:val="24"/>
        </w:rPr>
        <w:t xml:space="preserve">6.    </w:t>
      </w:r>
      <w:r>
        <w:rPr>
          <w:rFonts w:hint="eastAsia" w:ascii="宋体" w:hAnsi="宋体" w:eastAsia="宋体" w:cs="宋体"/>
          <w:b/>
          <w:bCs/>
          <w:color w:val="000000"/>
          <w:sz w:val="24"/>
          <w:szCs w:val="24"/>
        </w:rPr>
        <w:t>确定成交的标准</w:t>
      </w:r>
      <w:bookmarkEnd w:id="24"/>
      <w:bookmarkEnd w:id="25"/>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磋商投标人报出最后报价后，磋商小组根据报价、商务、技术三部分进行评分。根据最终得分排序，推荐成交投标人排序。</w:t>
      </w:r>
    </w:p>
    <w:p>
      <w:pPr>
        <w:numPr>
          <w:ilvl w:val="1"/>
          <w:numId w:val="5"/>
        </w:num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采购人依据被推荐的成交候选人，审查成交候选人是否有能力履行合同，在成交候选人中按排序先后依次确定成交投标人。</w:t>
      </w:r>
    </w:p>
    <w:p>
      <w:pPr>
        <w:numPr>
          <w:ilvl w:val="0"/>
          <w:numId w:val="6"/>
        </w:numPr>
        <w:spacing w:line="360" w:lineRule="auto"/>
        <w:ind w:left="0" w:leftChars="0" w:firstLine="441" w:firstLineChars="183"/>
        <w:rPr>
          <w:rFonts w:ascii="宋体" w:hAnsi="宋体" w:eastAsia="宋体" w:cs="宋体"/>
          <w:b/>
          <w:bCs/>
          <w:color w:val="000000"/>
          <w:sz w:val="24"/>
          <w:szCs w:val="24"/>
        </w:rPr>
      </w:pPr>
      <w:r>
        <w:rPr>
          <w:rFonts w:hint="eastAsia" w:ascii="宋体" w:hAnsi="宋体" w:eastAsia="宋体" w:cs="宋体"/>
          <w:b/>
          <w:bCs/>
          <w:color w:val="000000"/>
          <w:sz w:val="24"/>
          <w:szCs w:val="24"/>
        </w:rPr>
        <w:t xml:space="preserve">   磋商内容及要点</w:t>
      </w:r>
    </w:p>
    <w:p>
      <w:pPr>
        <w:numPr>
          <w:ilvl w:val="1"/>
          <w:numId w:val="7"/>
        </w:num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 xml:space="preserve">   对投标人的资格、业绩、方案是否符合相关业务要求等进行核实。</w:t>
      </w:r>
    </w:p>
    <w:p>
      <w:p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要点：</w:t>
      </w:r>
    </w:p>
    <w:p>
      <w:p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1）要求投标人对经核实确定后的内容进行确认。</w:t>
      </w:r>
    </w:p>
    <w:p>
      <w:pPr>
        <w:numPr>
          <w:ilvl w:val="1"/>
          <w:numId w:val="8"/>
        </w:num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 xml:space="preserve">   对磋商响应文件中的投标人方案、人员配置进行核实。</w:t>
      </w:r>
    </w:p>
    <w:p>
      <w:pPr>
        <w:numPr>
          <w:ilvl w:val="1"/>
          <w:numId w:val="8"/>
        </w:num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 xml:space="preserve">   对整个项目的成果交付期进行核实。</w:t>
      </w:r>
    </w:p>
    <w:p>
      <w:p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要点：</w:t>
      </w:r>
    </w:p>
    <w:p>
      <w:p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1）要求投标人对完成整个项目的成果交付期进行确认。</w:t>
      </w:r>
    </w:p>
    <w:p>
      <w:pPr>
        <w:numPr>
          <w:ilvl w:val="1"/>
          <w:numId w:val="8"/>
        </w:num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 xml:space="preserve">   对磋商响应文件所报价格的单价和总价进行核实。</w:t>
      </w:r>
    </w:p>
    <w:p>
      <w:p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要点：</w:t>
      </w:r>
    </w:p>
    <w:p>
      <w:pPr>
        <w:numPr>
          <w:ilvl w:val="0"/>
          <w:numId w:val="9"/>
        </w:num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要求投标人对核实后的投标报价进行初步确认；</w:t>
      </w:r>
    </w:p>
    <w:p>
      <w:pPr>
        <w:numPr>
          <w:ilvl w:val="0"/>
          <w:numId w:val="9"/>
        </w:numPr>
        <w:spacing w:line="360" w:lineRule="auto"/>
        <w:ind w:left="0" w:leftChars="0" w:firstLine="439" w:firstLineChars="183"/>
        <w:rPr>
          <w:rFonts w:ascii="宋体" w:hAnsi="宋体" w:eastAsia="宋体" w:cs="宋体"/>
          <w:bCs/>
          <w:color w:val="000000"/>
          <w:sz w:val="24"/>
          <w:szCs w:val="24"/>
        </w:rPr>
      </w:pPr>
      <w:r>
        <w:rPr>
          <w:rFonts w:hint="eastAsia" w:ascii="宋体" w:hAnsi="宋体" w:eastAsia="宋体" w:cs="宋体"/>
          <w:bCs/>
          <w:color w:val="000000"/>
          <w:sz w:val="24"/>
          <w:szCs w:val="24"/>
        </w:rPr>
        <w:t>在投标报价的基础上，要求投标人在规定的时间内，报出优惠的最后报价及有关承诺。</w:t>
      </w:r>
    </w:p>
    <w:p>
      <w:pPr>
        <w:pStyle w:val="5"/>
        <w:tabs>
          <w:tab w:val="left" w:pos="864"/>
        </w:tabs>
        <w:spacing w:line="360" w:lineRule="auto"/>
        <w:ind w:left="0" w:leftChars="0" w:right="320" w:firstLine="441" w:firstLineChars="183"/>
        <w:rPr>
          <w:rFonts w:ascii="宋体" w:hAnsi="宋体" w:cs="宋体"/>
          <w:color w:val="000000"/>
          <w:sz w:val="24"/>
          <w:szCs w:val="24"/>
        </w:rPr>
      </w:pPr>
      <w:bookmarkStart w:id="26" w:name="_Toc2989"/>
      <w:r>
        <w:rPr>
          <w:rFonts w:hint="eastAsia" w:ascii="宋体" w:hAnsi="宋体" w:cs="宋体"/>
          <w:color w:val="000000"/>
          <w:sz w:val="24"/>
          <w:szCs w:val="24"/>
        </w:rPr>
        <w:t>六、签订合同</w:t>
      </w:r>
      <w:bookmarkEnd w:id="26"/>
    </w:p>
    <w:p>
      <w:pPr>
        <w:spacing w:line="360" w:lineRule="auto"/>
        <w:ind w:left="0" w:leftChars="0" w:firstLine="439" w:firstLineChars="183"/>
        <w:rPr>
          <w:rFonts w:ascii="宋体" w:hAnsi="宋体" w:eastAsia="宋体" w:cs="宋体"/>
          <w:color w:val="000000"/>
          <w:sz w:val="24"/>
          <w:szCs w:val="24"/>
        </w:rPr>
      </w:pPr>
      <w:r>
        <w:rPr>
          <w:rFonts w:hint="eastAsia" w:ascii="宋体" w:hAnsi="宋体" w:eastAsia="宋体" w:cs="宋体"/>
          <w:color w:val="000000"/>
          <w:sz w:val="24"/>
          <w:szCs w:val="24"/>
        </w:rPr>
        <w:t>1．成交投标人在收到成交通知书后，按规定与采购人签订合同。</w:t>
      </w:r>
    </w:p>
    <w:p>
      <w:pPr>
        <w:pStyle w:val="5"/>
        <w:tabs>
          <w:tab w:val="left" w:pos="864"/>
        </w:tabs>
        <w:spacing w:line="360" w:lineRule="auto"/>
        <w:ind w:left="0" w:leftChars="0" w:right="320" w:firstLine="441" w:firstLineChars="183"/>
        <w:rPr>
          <w:rFonts w:ascii="宋体" w:hAnsi="宋体" w:cs="宋体"/>
          <w:color w:val="000000"/>
          <w:sz w:val="24"/>
          <w:szCs w:val="24"/>
        </w:rPr>
      </w:pPr>
      <w:bookmarkStart w:id="27" w:name="_Toc3902"/>
      <w:r>
        <w:rPr>
          <w:rFonts w:hint="eastAsia" w:ascii="宋体" w:hAnsi="宋体" w:cs="宋体"/>
          <w:color w:val="000000"/>
          <w:sz w:val="24"/>
          <w:szCs w:val="24"/>
        </w:rPr>
        <w:t>七、磋商保证金</w:t>
      </w:r>
      <w:bookmarkEnd w:id="27"/>
      <w:bookmarkStart w:id="28" w:name="_Toc17850"/>
    </w:p>
    <w:p>
      <w:pPr>
        <w:spacing w:line="360" w:lineRule="auto"/>
        <w:ind w:left="0" w:leftChars="0" w:firstLine="439" w:firstLineChars="183"/>
        <w:rPr>
          <w:rFonts w:ascii="宋体" w:hAnsi="宋体" w:eastAsia="宋体" w:cs="宋体"/>
          <w:sz w:val="24"/>
          <w:szCs w:val="24"/>
        </w:rPr>
      </w:pPr>
      <w:r>
        <w:rPr>
          <w:rFonts w:hint="eastAsia" w:ascii="宋体" w:hAnsi="宋体" w:eastAsia="宋体" w:cs="宋体"/>
          <w:sz w:val="24"/>
          <w:szCs w:val="24"/>
        </w:rPr>
        <w:t>1.本项目不收取磋商保证金。</w:t>
      </w:r>
    </w:p>
    <w:p>
      <w:pPr>
        <w:pStyle w:val="5"/>
        <w:tabs>
          <w:tab w:val="left" w:pos="864"/>
        </w:tabs>
        <w:spacing w:line="360" w:lineRule="auto"/>
        <w:ind w:left="0" w:leftChars="0" w:right="320" w:firstLine="441" w:firstLineChars="183"/>
        <w:rPr>
          <w:rFonts w:ascii="宋体" w:hAnsi="宋体" w:cs="宋体"/>
          <w:color w:val="000000"/>
          <w:sz w:val="24"/>
          <w:szCs w:val="24"/>
        </w:rPr>
      </w:pPr>
      <w:r>
        <w:rPr>
          <w:rFonts w:hint="eastAsia" w:ascii="宋体" w:hAnsi="宋体" w:cs="宋体"/>
          <w:color w:val="000000"/>
          <w:sz w:val="24"/>
          <w:szCs w:val="24"/>
        </w:rPr>
        <w:t>八、适用法律</w:t>
      </w:r>
      <w:bookmarkEnd w:id="28"/>
    </w:p>
    <w:p>
      <w:pPr>
        <w:pStyle w:val="7"/>
        <w:spacing w:line="360" w:lineRule="auto"/>
        <w:ind w:left="0" w:leftChars="0" w:firstLine="439" w:firstLineChars="183"/>
        <w:rPr>
          <w:rFonts w:ascii="宋体" w:hAnsi="宋体" w:cs="宋体"/>
          <w:color w:val="000000"/>
          <w:kern w:val="0"/>
          <w:sz w:val="24"/>
          <w:szCs w:val="24"/>
        </w:rPr>
      </w:pPr>
      <w:r>
        <w:rPr>
          <w:rFonts w:hint="eastAsia" w:ascii="宋体" w:hAnsi="宋体" w:cs="宋体"/>
          <w:color w:val="000000"/>
          <w:kern w:val="0"/>
          <w:sz w:val="24"/>
          <w:szCs w:val="24"/>
        </w:rPr>
        <w:t>1．采购当事人的一切活动均适用于《中华人民共和国政府采购法》、《中华人民共和国招标投标法》及相关规定。</w:t>
      </w:r>
    </w:p>
    <w:p>
      <w:pPr>
        <w:pStyle w:val="7"/>
        <w:rPr>
          <w:rFonts w:ascii="宋体" w:hAnsi="宋体" w:cs="宋体"/>
          <w:color w:val="000000"/>
          <w:kern w:val="0"/>
          <w:sz w:val="28"/>
          <w:szCs w:val="28"/>
        </w:rPr>
      </w:pPr>
    </w:p>
    <w:p>
      <w:pPr>
        <w:pStyle w:val="14"/>
        <w:outlineLvl w:val="0"/>
        <w:rPr>
          <w:rFonts w:ascii="宋体" w:hAnsi="宋体" w:eastAsia="宋体" w:cs="宋体"/>
          <w:color w:val="000000"/>
          <w:szCs w:val="30"/>
        </w:rPr>
      </w:pPr>
      <w:bookmarkStart w:id="29" w:name="_Toc32601_WPSOffice_Level1"/>
      <w:bookmarkStart w:id="30" w:name="_Toc13518"/>
      <w:bookmarkStart w:id="31" w:name="_Toc2300"/>
      <w:r>
        <w:rPr>
          <w:rFonts w:hint="eastAsia" w:ascii="宋体" w:hAnsi="宋体" w:eastAsia="宋体" w:cs="宋体"/>
          <w:color w:val="000000"/>
          <w:szCs w:val="30"/>
        </w:rPr>
        <w:t>第</w:t>
      </w:r>
      <w:r>
        <w:rPr>
          <w:rFonts w:hint="eastAsia" w:ascii="宋体" w:hAnsi="宋体" w:eastAsia="宋体" w:cs="宋体"/>
          <w:color w:val="000000"/>
          <w:szCs w:val="30"/>
          <w:lang w:val="en-US" w:eastAsia="zh-CN"/>
        </w:rPr>
        <w:t>三</w:t>
      </w:r>
      <w:r>
        <w:rPr>
          <w:rFonts w:hint="eastAsia" w:ascii="宋体" w:hAnsi="宋体" w:eastAsia="宋体" w:cs="宋体"/>
          <w:color w:val="000000"/>
          <w:szCs w:val="30"/>
        </w:rPr>
        <w:t>章、合同书（仅供参考）</w:t>
      </w:r>
      <w:bookmarkEnd w:id="29"/>
      <w:bookmarkEnd w:id="30"/>
      <w:bookmarkEnd w:id="31"/>
    </w:p>
    <w:p>
      <w:pPr>
        <w:pStyle w:val="8"/>
        <w:keepNext w:val="0"/>
        <w:keepLines w:val="0"/>
        <w:pageBreakBefore w:val="0"/>
        <w:widowControl w:val="0"/>
        <w:kinsoku/>
        <w:wordWrap/>
        <w:overflowPunct/>
        <w:topLinePunct w:val="0"/>
        <w:autoSpaceDE w:val="0"/>
        <w:autoSpaceDN w:val="0"/>
        <w:bidi w:val="0"/>
        <w:adjustRightInd/>
        <w:snapToGrid/>
        <w:spacing w:line="420" w:lineRule="exact"/>
        <w:ind w:right="480"/>
        <w:textAlignment w:val="auto"/>
        <w:rPr>
          <w:rFonts w:ascii="宋体" w:hAnsi="宋体" w:eastAsia="宋体" w:cs="宋体"/>
          <w:color w:val="000000"/>
          <w:sz w:val="24"/>
          <w:szCs w:val="24"/>
          <w:u w:val="single"/>
        </w:rPr>
      </w:pPr>
      <w:r>
        <w:rPr>
          <w:rFonts w:hint="eastAsia" w:ascii="宋体" w:hAnsi="宋体" w:eastAsia="宋体" w:cs="宋体"/>
          <w:color w:val="000000"/>
          <w:sz w:val="24"/>
          <w:szCs w:val="24"/>
        </w:rPr>
        <w:t>合同编号：</w:t>
      </w:r>
      <w:bookmarkStart w:id="32" w:name="_Hlt9432894"/>
      <w:bookmarkEnd w:id="32"/>
      <w:r>
        <w:rPr>
          <w:rFonts w:hint="eastAsia" w:ascii="宋体" w:hAnsi="宋体" w:eastAsia="宋体" w:cs="宋体"/>
          <w:color w:val="000000"/>
          <w:sz w:val="24"/>
          <w:szCs w:val="24"/>
          <w:u w:val="single"/>
        </w:rPr>
        <w:t xml:space="preserve">           </w:t>
      </w:r>
    </w:p>
    <w:p>
      <w:pPr>
        <w:keepNext w:val="0"/>
        <w:keepLines w:val="0"/>
        <w:pageBreakBefore w:val="0"/>
        <w:widowControl w:val="0"/>
        <w:kinsoku/>
        <w:wordWrap/>
        <w:overflowPunct/>
        <w:topLinePunct w:val="0"/>
        <w:autoSpaceDE w:val="0"/>
        <w:autoSpaceDN w:val="0"/>
        <w:bidi w:val="0"/>
        <w:adjustRightInd/>
        <w:snapToGrid/>
        <w:spacing w:line="420" w:lineRule="exact"/>
        <w:ind w:firstLine="504" w:firstLineChars="210"/>
        <w:textAlignment w:val="auto"/>
        <w:rPr>
          <w:rFonts w:ascii="宋体" w:hAnsi="宋体" w:eastAsia="宋体" w:cs="宋体"/>
          <w:color w:val="000000"/>
          <w:sz w:val="24"/>
          <w:szCs w:val="24"/>
        </w:rPr>
      </w:pPr>
      <w:r>
        <w:rPr>
          <w:rFonts w:hint="eastAsia" w:ascii="宋体" w:hAnsi="宋体" w:eastAsia="宋体" w:cs="宋体"/>
          <w:color w:val="000000"/>
          <w:sz w:val="24"/>
          <w:szCs w:val="24"/>
        </w:rPr>
        <w:t>本合同依据《中华人民共和国合同法》，由</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（以下简称“甲方”）为一方和</w:t>
      </w:r>
      <w:r>
        <w:rPr>
          <w:rFonts w:hint="eastAsia" w:ascii="宋体" w:hAnsi="宋体" w:eastAsia="宋体" w:cs="宋体"/>
          <w:color w:val="000000"/>
          <w:sz w:val="24"/>
          <w:szCs w:val="24"/>
          <w:u w:val="single"/>
        </w:rPr>
        <w:t xml:space="preserve">   </w:t>
      </w:r>
      <w:r>
        <w:rPr>
          <w:rFonts w:hint="eastAsia" w:ascii="宋体" w:hAnsi="宋体" w:eastAsia="宋体" w:cs="宋体"/>
          <w:iCs/>
          <w:color w:val="000000"/>
          <w:sz w:val="24"/>
          <w:szCs w:val="24"/>
          <w:u w:val="single"/>
        </w:rPr>
        <w:t>(投标人名称)</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（以下简称“乙方”）为另一方商定并按下述条款和条件签署。</w:t>
      </w:r>
    </w:p>
    <w:p>
      <w:pPr>
        <w:keepNext w:val="0"/>
        <w:keepLines w:val="0"/>
        <w:pageBreakBefore w:val="0"/>
        <w:widowControl w:val="0"/>
        <w:kinsoku/>
        <w:wordWrap/>
        <w:overflowPunct/>
        <w:topLinePunct w:val="0"/>
        <w:autoSpaceDE w:val="0"/>
        <w:autoSpaceDN w:val="0"/>
        <w:bidi w:val="0"/>
        <w:adjustRightInd/>
        <w:snapToGrid/>
        <w:spacing w:line="420" w:lineRule="exact"/>
        <w:ind w:firstLine="504" w:firstLineChars="210"/>
        <w:textAlignment w:val="auto"/>
        <w:rPr>
          <w:rFonts w:ascii="宋体" w:hAnsi="宋体" w:eastAsia="宋体" w:cs="宋体"/>
          <w:color w:val="000000"/>
          <w:sz w:val="24"/>
          <w:szCs w:val="24"/>
        </w:rPr>
      </w:pPr>
      <w:r>
        <w:rPr>
          <w:rFonts w:hint="eastAsia" w:ascii="宋体" w:hAnsi="宋体" w:eastAsia="宋体" w:cs="宋体"/>
          <w:color w:val="000000"/>
          <w:sz w:val="24"/>
          <w:szCs w:val="24"/>
        </w:rPr>
        <w:t>甲方为获得以下服务，即</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而进行竞争性磋商，并接受了乙方以总金额人民币</w:t>
      </w:r>
      <w:r>
        <w:rPr>
          <w:rFonts w:hint="eastAsia" w:ascii="宋体" w:hAnsi="宋体" w:eastAsia="宋体" w:cs="宋体"/>
          <w:iCs/>
          <w:color w:val="000000"/>
          <w:sz w:val="24"/>
          <w:szCs w:val="24"/>
          <w:u w:val="single"/>
        </w:rPr>
        <w:t>（用文字和数字表示的合同价格）</w:t>
      </w:r>
      <w:r>
        <w:rPr>
          <w:rFonts w:hint="eastAsia" w:ascii="宋体" w:hAnsi="宋体" w:eastAsia="宋体" w:cs="宋体"/>
          <w:color w:val="000000"/>
          <w:sz w:val="24"/>
          <w:szCs w:val="24"/>
        </w:rPr>
        <w:t>（以下简称“合同价格”）提供</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的投标。</w:t>
      </w:r>
    </w:p>
    <w:p>
      <w:pPr>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本合同在此声明如下：</w:t>
      </w:r>
    </w:p>
    <w:p>
      <w:pPr>
        <w:keepNext w:val="0"/>
        <w:keepLines w:val="0"/>
        <w:pageBreakBefore w:val="0"/>
        <w:widowControl w:val="0"/>
        <w:numPr>
          <w:ilvl w:val="0"/>
          <w:numId w:val="10"/>
        </w:numPr>
        <w:tabs>
          <w:tab w:val="left" w:pos="700"/>
          <w:tab w:val="left" w:pos="742"/>
        </w:tabs>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本合同中的词语和术语的含义与合同条款中的定义相同。</w:t>
      </w:r>
    </w:p>
    <w:p>
      <w:pPr>
        <w:keepNext w:val="0"/>
        <w:keepLines w:val="0"/>
        <w:pageBreakBefore w:val="0"/>
        <w:widowControl w:val="0"/>
        <w:numPr>
          <w:ilvl w:val="0"/>
          <w:numId w:val="10"/>
        </w:numPr>
        <w:tabs>
          <w:tab w:val="left" w:pos="700"/>
          <w:tab w:val="left" w:pos="742"/>
        </w:tabs>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本合同由下述文件构成：</w:t>
      </w:r>
    </w:p>
    <w:p>
      <w:pPr>
        <w:keepNext w:val="0"/>
        <w:keepLines w:val="0"/>
        <w:pageBreakBefore w:val="0"/>
        <w:widowControl w:val="0"/>
        <w:tabs>
          <w:tab w:val="left" w:pos="540"/>
          <w:tab w:val="left" w:pos="900"/>
        </w:tabs>
        <w:kinsoku/>
        <w:wordWrap/>
        <w:overflowPunct/>
        <w:topLinePunct w:val="0"/>
        <w:autoSpaceDE w:val="0"/>
        <w:autoSpaceDN w:val="0"/>
        <w:bidi w:val="0"/>
        <w:adjustRightInd/>
        <w:snapToGrid/>
        <w:spacing w:line="420" w:lineRule="exact"/>
        <w:ind w:left="880" w:leftChars="400"/>
        <w:textAlignment w:val="auto"/>
        <w:rPr>
          <w:rFonts w:ascii="宋体" w:hAnsi="宋体" w:eastAsia="宋体" w:cs="宋体"/>
          <w:color w:val="000000"/>
          <w:sz w:val="24"/>
          <w:szCs w:val="24"/>
        </w:rPr>
      </w:pPr>
      <w:r>
        <w:rPr>
          <w:rFonts w:hint="eastAsia" w:ascii="宋体" w:hAnsi="宋体" w:eastAsia="宋体" w:cs="宋体"/>
          <w:color w:val="000000"/>
          <w:sz w:val="24"/>
          <w:szCs w:val="24"/>
        </w:rPr>
        <w:t>合同文件1    合同书</w:t>
      </w:r>
    </w:p>
    <w:p>
      <w:pPr>
        <w:keepNext w:val="0"/>
        <w:keepLines w:val="0"/>
        <w:pageBreakBefore w:val="0"/>
        <w:widowControl w:val="0"/>
        <w:tabs>
          <w:tab w:val="left" w:pos="540"/>
          <w:tab w:val="left" w:pos="900"/>
        </w:tabs>
        <w:kinsoku/>
        <w:wordWrap/>
        <w:overflowPunct/>
        <w:topLinePunct w:val="0"/>
        <w:autoSpaceDE w:val="0"/>
        <w:autoSpaceDN w:val="0"/>
        <w:bidi w:val="0"/>
        <w:adjustRightInd/>
        <w:snapToGrid/>
        <w:spacing w:line="420" w:lineRule="exact"/>
        <w:ind w:left="880" w:leftChars="400"/>
        <w:textAlignment w:val="auto"/>
        <w:rPr>
          <w:rFonts w:ascii="宋体" w:hAnsi="宋体" w:eastAsia="宋体" w:cs="宋体"/>
          <w:color w:val="000000"/>
          <w:sz w:val="24"/>
          <w:szCs w:val="24"/>
        </w:rPr>
      </w:pPr>
      <w:r>
        <w:rPr>
          <w:rFonts w:hint="eastAsia" w:ascii="宋体" w:hAnsi="宋体" w:eastAsia="宋体" w:cs="宋体"/>
          <w:color w:val="000000"/>
          <w:sz w:val="24"/>
          <w:szCs w:val="24"/>
        </w:rPr>
        <w:t>合同文件2    合同条款</w:t>
      </w:r>
    </w:p>
    <w:p>
      <w:pPr>
        <w:keepNext w:val="0"/>
        <w:keepLines w:val="0"/>
        <w:pageBreakBefore w:val="0"/>
        <w:widowControl w:val="0"/>
        <w:tabs>
          <w:tab w:val="left" w:pos="540"/>
          <w:tab w:val="left" w:pos="900"/>
        </w:tabs>
        <w:kinsoku/>
        <w:wordWrap/>
        <w:overflowPunct/>
        <w:topLinePunct w:val="0"/>
        <w:autoSpaceDE w:val="0"/>
        <w:autoSpaceDN w:val="0"/>
        <w:bidi w:val="0"/>
        <w:adjustRightInd/>
        <w:snapToGrid/>
        <w:spacing w:line="420" w:lineRule="exact"/>
        <w:ind w:left="880" w:leftChars="400"/>
        <w:textAlignment w:val="auto"/>
        <w:rPr>
          <w:rFonts w:ascii="宋体" w:hAnsi="宋体" w:eastAsia="宋体" w:cs="宋体"/>
          <w:color w:val="000000"/>
          <w:sz w:val="24"/>
          <w:szCs w:val="24"/>
        </w:rPr>
      </w:pPr>
      <w:r>
        <w:rPr>
          <w:rFonts w:hint="eastAsia" w:ascii="宋体" w:hAnsi="宋体" w:eastAsia="宋体" w:cs="宋体"/>
          <w:color w:val="000000"/>
          <w:sz w:val="24"/>
          <w:szCs w:val="24"/>
        </w:rPr>
        <w:t>合同文件3    招标文件</w:t>
      </w:r>
    </w:p>
    <w:p>
      <w:pPr>
        <w:keepNext w:val="0"/>
        <w:keepLines w:val="0"/>
        <w:pageBreakBefore w:val="0"/>
        <w:widowControl w:val="0"/>
        <w:tabs>
          <w:tab w:val="left" w:pos="540"/>
          <w:tab w:val="left" w:pos="900"/>
        </w:tabs>
        <w:kinsoku/>
        <w:wordWrap/>
        <w:overflowPunct/>
        <w:topLinePunct w:val="0"/>
        <w:autoSpaceDE w:val="0"/>
        <w:autoSpaceDN w:val="0"/>
        <w:bidi w:val="0"/>
        <w:adjustRightInd/>
        <w:snapToGrid/>
        <w:spacing w:line="420" w:lineRule="exact"/>
        <w:ind w:left="880" w:leftChars="400"/>
        <w:textAlignment w:val="auto"/>
        <w:rPr>
          <w:rFonts w:ascii="宋体" w:hAnsi="宋体" w:eastAsia="宋体" w:cs="宋体"/>
          <w:color w:val="000000"/>
          <w:sz w:val="24"/>
          <w:szCs w:val="24"/>
        </w:rPr>
      </w:pPr>
      <w:r>
        <w:rPr>
          <w:rFonts w:hint="eastAsia" w:ascii="宋体" w:hAnsi="宋体" w:eastAsia="宋体" w:cs="宋体"/>
          <w:color w:val="000000"/>
          <w:sz w:val="24"/>
          <w:szCs w:val="24"/>
        </w:rPr>
        <w:t>合同文件4    投标文件</w:t>
      </w:r>
    </w:p>
    <w:p>
      <w:pPr>
        <w:keepNext w:val="0"/>
        <w:keepLines w:val="0"/>
        <w:pageBreakBefore w:val="0"/>
        <w:widowControl w:val="0"/>
        <w:tabs>
          <w:tab w:val="left" w:pos="540"/>
          <w:tab w:val="left" w:pos="900"/>
        </w:tabs>
        <w:kinsoku/>
        <w:wordWrap/>
        <w:overflowPunct/>
        <w:topLinePunct w:val="0"/>
        <w:autoSpaceDE w:val="0"/>
        <w:autoSpaceDN w:val="0"/>
        <w:bidi w:val="0"/>
        <w:adjustRightInd/>
        <w:snapToGrid/>
        <w:spacing w:line="420" w:lineRule="exact"/>
        <w:ind w:left="880" w:leftChars="400"/>
        <w:textAlignment w:val="auto"/>
        <w:rPr>
          <w:rFonts w:ascii="宋体" w:hAnsi="宋体" w:eastAsia="宋体" w:cs="宋体"/>
          <w:color w:val="000000"/>
          <w:sz w:val="24"/>
          <w:szCs w:val="24"/>
        </w:rPr>
      </w:pPr>
      <w:r>
        <w:rPr>
          <w:rFonts w:hint="eastAsia" w:ascii="宋体" w:hAnsi="宋体" w:eastAsia="宋体" w:cs="宋体"/>
          <w:color w:val="000000"/>
          <w:sz w:val="24"/>
          <w:szCs w:val="24"/>
        </w:rPr>
        <w:t>合同文件5    中标通知书</w:t>
      </w:r>
    </w:p>
    <w:p>
      <w:pPr>
        <w:keepNext w:val="0"/>
        <w:keepLines w:val="0"/>
        <w:pageBreakBefore w:val="0"/>
        <w:widowControl w:val="0"/>
        <w:tabs>
          <w:tab w:val="left" w:pos="540"/>
          <w:tab w:val="left" w:pos="900"/>
        </w:tabs>
        <w:kinsoku/>
        <w:wordWrap/>
        <w:overflowPunct/>
        <w:topLinePunct w:val="0"/>
        <w:autoSpaceDE w:val="0"/>
        <w:autoSpaceDN w:val="0"/>
        <w:bidi w:val="0"/>
        <w:adjustRightInd/>
        <w:snapToGrid/>
        <w:spacing w:line="420" w:lineRule="exact"/>
        <w:ind w:left="880" w:leftChars="400"/>
        <w:textAlignment w:val="auto"/>
        <w:rPr>
          <w:rFonts w:ascii="宋体" w:hAnsi="宋体" w:eastAsia="宋体" w:cs="宋体"/>
          <w:color w:val="000000"/>
          <w:sz w:val="24"/>
          <w:szCs w:val="24"/>
        </w:rPr>
      </w:pPr>
      <w:r>
        <w:rPr>
          <w:rFonts w:hint="eastAsia" w:ascii="宋体" w:hAnsi="宋体" w:eastAsia="宋体" w:cs="宋体"/>
          <w:color w:val="000000"/>
          <w:sz w:val="24"/>
          <w:szCs w:val="24"/>
        </w:rPr>
        <w:t>合同文件6    相关资料</w:t>
      </w:r>
    </w:p>
    <w:p>
      <w:pPr>
        <w:keepNext w:val="0"/>
        <w:keepLines w:val="0"/>
        <w:pageBreakBefore w:val="0"/>
        <w:widowControl w:val="0"/>
        <w:numPr>
          <w:ilvl w:val="0"/>
          <w:numId w:val="11"/>
        </w:numPr>
        <w:tabs>
          <w:tab w:val="left" w:pos="742"/>
        </w:tabs>
        <w:kinsoku/>
        <w:wordWrap/>
        <w:overflowPunct/>
        <w:topLinePunct w:val="0"/>
        <w:autoSpaceDE w:val="0"/>
        <w:autoSpaceDN w:val="0"/>
        <w:bidi w:val="0"/>
        <w:adjustRightInd/>
        <w:snapToGrid/>
        <w:spacing w:line="420" w:lineRule="exact"/>
        <w:ind w:left="742" w:hanging="402"/>
        <w:textAlignment w:val="auto"/>
        <w:rPr>
          <w:rFonts w:ascii="宋体" w:hAnsi="宋体" w:eastAsia="宋体" w:cs="宋体"/>
          <w:color w:val="000000"/>
          <w:sz w:val="24"/>
          <w:szCs w:val="24"/>
        </w:rPr>
      </w:pPr>
      <w:r>
        <w:rPr>
          <w:rFonts w:hint="eastAsia" w:ascii="宋体" w:hAnsi="宋体" w:eastAsia="宋体" w:cs="宋体"/>
          <w:color w:val="000000"/>
          <w:sz w:val="24"/>
          <w:szCs w:val="24"/>
        </w:rPr>
        <w:t>考虑到甲方将按照本合同向方乙支付，乙方在此保证全部按照合同的规定向甲方提供货物和服务，并承担缺陷修补责任。</w:t>
      </w:r>
    </w:p>
    <w:p>
      <w:pPr>
        <w:keepNext w:val="0"/>
        <w:keepLines w:val="0"/>
        <w:pageBreakBefore w:val="0"/>
        <w:widowControl w:val="0"/>
        <w:numPr>
          <w:ilvl w:val="0"/>
          <w:numId w:val="11"/>
        </w:numPr>
        <w:tabs>
          <w:tab w:val="left" w:pos="742"/>
          <w:tab w:val="left" w:pos="1080"/>
        </w:tabs>
        <w:kinsoku/>
        <w:wordWrap/>
        <w:overflowPunct/>
        <w:topLinePunct w:val="0"/>
        <w:autoSpaceDE w:val="0"/>
        <w:autoSpaceDN w:val="0"/>
        <w:bidi w:val="0"/>
        <w:adjustRightInd/>
        <w:snapToGrid/>
        <w:spacing w:line="420" w:lineRule="exact"/>
        <w:ind w:left="742" w:hanging="402"/>
        <w:textAlignment w:val="auto"/>
        <w:rPr>
          <w:rFonts w:ascii="宋体" w:hAnsi="宋体" w:eastAsia="宋体" w:cs="宋体"/>
          <w:color w:val="000000"/>
          <w:sz w:val="24"/>
          <w:szCs w:val="24"/>
        </w:rPr>
      </w:pPr>
      <w:r>
        <w:rPr>
          <w:rFonts w:hint="eastAsia" w:ascii="宋体" w:hAnsi="宋体" w:eastAsia="宋体" w:cs="宋体"/>
          <w:color w:val="000000"/>
          <w:sz w:val="24"/>
          <w:szCs w:val="24"/>
        </w:rPr>
        <w:t>考虑到投标人提供的货物和服务并修补缺陷，甲方在此保证按照合同规定的价格向投标人支付。</w:t>
      </w:r>
    </w:p>
    <w:p>
      <w:pPr>
        <w:keepNext w:val="0"/>
        <w:keepLines w:val="0"/>
        <w:pageBreakBefore w:val="0"/>
        <w:widowControl w:val="0"/>
        <w:numPr>
          <w:ilvl w:val="0"/>
          <w:numId w:val="11"/>
        </w:numPr>
        <w:tabs>
          <w:tab w:val="left" w:pos="742"/>
          <w:tab w:val="left" w:pos="1080"/>
        </w:tabs>
        <w:kinsoku/>
        <w:wordWrap/>
        <w:overflowPunct/>
        <w:topLinePunct w:val="0"/>
        <w:autoSpaceDE w:val="0"/>
        <w:autoSpaceDN w:val="0"/>
        <w:bidi w:val="0"/>
        <w:adjustRightInd/>
        <w:snapToGrid/>
        <w:spacing w:line="420" w:lineRule="exact"/>
        <w:ind w:left="742" w:hanging="402"/>
        <w:textAlignment w:val="auto"/>
        <w:rPr>
          <w:rFonts w:ascii="宋体" w:hAnsi="宋体" w:eastAsia="宋体" w:cs="宋体"/>
          <w:color w:val="000000"/>
          <w:sz w:val="24"/>
          <w:szCs w:val="24"/>
        </w:rPr>
      </w:pPr>
      <w:r>
        <w:rPr>
          <w:rFonts w:hint="eastAsia" w:ascii="宋体" w:hAnsi="宋体" w:eastAsia="宋体" w:cs="宋体"/>
          <w:color w:val="000000"/>
          <w:sz w:val="24"/>
          <w:szCs w:val="24"/>
        </w:rPr>
        <w:t>本合同正本一式叁份，合同双方各持壹份，武汉市政府采购办公室备案壹份；副本一式肆份，合同双方各持贰份。</w:t>
      </w:r>
    </w:p>
    <w:p>
      <w:pPr>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p>
    <w:p>
      <w:pPr>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甲方：</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乙方：</w:t>
      </w:r>
      <w:r>
        <w:rPr>
          <w:rFonts w:hint="eastAsia" w:ascii="宋体" w:hAnsi="宋体" w:eastAsia="宋体" w:cs="宋体"/>
          <w:color w:val="000000"/>
          <w:sz w:val="24"/>
          <w:szCs w:val="24"/>
          <w:u w:val="single"/>
        </w:rPr>
        <w:t xml:space="preserve">                       </w:t>
      </w:r>
    </w:p>
    <w:p>
      <w:pPr>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u w:val="single"/>
        </w:rPr>
      </w:pPr>
      <w:r>
        <w:rPr>
          <w:rFonts w:hint="eastAsia" w:ascii="宋体" w:hAnsi="宋体" w:eastAsia="宋体" w:cs="宋体"/>
          <w:color w:val="000000"/>
          <w:sz w:val="24"/>
          <w:szCs w:val="24"/>
        </w:rPr>
        <w:t>名称：</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名称：</w:t>
      </w:r>
      <w:r>
        <w:rPr>
          <w:rFonts w:hint="eastAsia" w:ascii="宋体" w:hAnsi="宋体" w:eastAsia="宋体" w:cs="宋体"/>
          <w:color w:val="000000"/>
          <w:sz w:val="24"/>
          <w:szCs w:val="24"/>
          <w:u w:val="single"/>
        </w:rPr>
        <w:t xml:space="preserve">                         </w:t>
      </w:r>
    </w:p>
    <w:p>
      <w:pPr>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u w:val="single"/>
        </w:rPr>
      </w:pPr>
      <w:r>
        <w:rPr>
          <w:rFonts w:hint="eastAsia" w:ascii="宋体" w:hAnsi="宋体" w:eastAsia="宋体" w:cs="宋体"/>
          <w:color w:val="000000"/>
          <w:sz w:val="24"/>
          <w:szCs w:val="24"/>
        </w:rPr>
        <w:t>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地址：</w:t>
      </w:r>
      <w:r>
        <w:rPr>
          <w:rFonts w:hint="eastAsia" w:ascii="宋体" w:hAnsi="宋体" w:eastAsia="宋体" w:cs="宋体"/>
          <w:color w:val="000000"/>
          <w:sz w:val="24"/>
          <w:szCs w:val="24"/>
          <w:u w:val="single"/>
        </w:rPr>
        <w:t xml:space="preserve">                         </w:t>
      </w:r>
    </w:p>
    <w:p>
      <w:pPr>
        <w:pStyle w:val="8"/>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邮编：</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邮编：</w:t>
      </w:r>
      <w:r>
        <w:rPr>
          <w:rFonts w:hint="eastAsia" w:ascii="宋体" w:hAnsi="宋体" w:eastAsia="宋体" w:cs="宋体"/>
          <w:color w:val="000000"/>
          <w:sz w:val="24"/>
          <w:szCs w:val="24"/>
          <w:u w:val="single"/>
        </w:rPr>
        <w:t xml:space="preserve">                         </w:t>
      </w:r>
    </w:p>
    <w:p>
      <w:pPr>
        <w:pStyle w:val="8"/>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传真：（027）</w:t>
      </w:r>
      <w:r>
        <w:rPr>
          <w:rFonts w:hint="eastAsia" w:ascii="宋体" w:hAnsi="宋体" w:eastAsia="宋体" w:cs="宋体"/>
          <w:color w:val="000000"/>
          <w:sz w:val="24"/>
          <w:szCs w:val="24"/>
        </w:rPr>
        <w:tab/>
      </w:r>
      <w:r>
        <w:rPr>
          <w:rFonts w:hint="eastAsia" w:ascii="宋体" w:hAnsi="宋体" w:eastAsia="宋体" w:cs="宋体"/>
          <w:color w:val="000000"/>
          <w:sz w:val="24"/>
          <w:szCs w:val="24"/>
        </w:rPr>
        <w:tab/>
      </w:r>
      <w:r>
        <w:rPr>
          <w:rFonts w:hint="eastAsia" w:ascii="宋体" w:hAnsi="宋体" w:eastAsia="宋体" w:cs="宋体"/>
          <w:color w:val="000000"/>
          <w:sz w:val="24"/>
          <w:szCs w:val="24"/>
        </w:rPr>
        <w:tab/>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传真：</w:t>
      </w:r>
      <w:r>
        <w:rPr>
          <w:rFonts w:hint="eastAsia" w:ascii="宋体" w:hAnsi="宋体" w:eastAsia="宋体" w:cs="宋体"/>
          <w:color w:val="000000"/>
          <w:sz w:val="24"/>
          <w:szCs w:val="24"/>
          <w:u w:val="single"/>
        </w:rPr>
        <w:t xml:space="preserve">                         </w:t>
      </w:r>
    </w:p>
    <w:p>
      <w:pPr>
        <w:pStyle w:val="8"/>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电话：（027）</w:t>
      </w:r>
      <w:r>
        <w:rPr>
          <w:rFonts w:hint="eastAsia" w:ascii="宋体" w:hAnsi="宋体" w:eastAsia="宋体" w:cs="宋体"/>
          <w:color w:val="000000"/>
          <w:sz w:val="24"/>
          <w:szCs w:val="24"/>
        </w:rPr>
        <w:tab/>
      </w:r>
      <w:r>
        <w:rPr>
          <w:rFonts w:hint="eastAsia" w:ascii="宋体" w:hAnsi="宋体" w:eastAsia="宋体" w:cs="宋体"/>
          <w:color w:val="000000"/>
          <w:sz w:val="24"/>
          <w:szCs w:val="24"/>
        </w:rPr>
        <w:tab/>
      </w:r>
      <w:r>
        <w:rPr>
          <w:rFonts w:hint="eastAsia" w:ascii="宋体" w:hAnsi="宋体" w:eastAsia="宋体" w:cs="宋体"/>
          <w:color w:val="000000"/>
          <w:sz w:val="24"/>
          <w:szCs w:val="24"/>
        </w:rPr>
        <w:tab/>
      </w:r>
      <w:r>
        <w:rPr>
          <w:rFonts w:hint="eastAsia" w:ascii="宋体" w:hAnsi="宋体" w:eastAsia="宋体" w:cs="宋体"/>
          <w:color w:val="000000"/>
          <w:sz w:val="24"/>
          <w:szCs w:val="24"/>
        </w:rPr>
        <w:t xml:space="preserve">              电话：</w:t>
      </w:r>
      <w:r>
        <w:rPr>
          <w:rFonts w:hint="eastAsia" w:ascii="宋体" w:hAnsi="宋体" w:eastAsia="宋体" w:cs="宋体"/>
          <w:color w:val="000000"/>
          <w:sz w:val="24"/>
          <w:szCs w:val="24"/>
          <w:u w:val="single"/>
        </w:rPr>
        <w:t xml:space="preserve">                         </w:t>
      </w:r>
    </w:p>
    <w:p>
      <w:pPr>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法定代表人（或受权代表）：                  法定代表人（或受权代表）：</w:t>
      </w:r>
    </w:p>
    <w:p>
      <w:pPr>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签字：</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签字：</w:t>
      </w:r>
      <w:r>
        <w:rPr>
          <w:rFonts w:hint="eastAsia" w:ascii="宋体" w:hAnsi="宋体" w:eastAsia="宋体" w:cs="宋体"/>
          <w:color w:val="000000"/>
          <w:sz w:val="24"/>
          <w:szCs w:val="24"/>
          <w:u w:val="single"/>
        </w:rPr>
        <w:t xml:space="preserve">                        </w:t>
      </w:r>
    </w:p>
    <w:p>
      <w:pPr>
        <w:keepNext w:val="0"/>
        <w:keepLines w:val="0"/>
        <w:pageBreakBefore w:val="0"/>
        <w:widowControl w:val="0"/>
        <w:kinsoku/>
        <w:wordWrap/>
        <w:overflowPunct/>
        <w:topLinePunct w:val="0"/>
        <w:autoSpaceDE w:val="0"/>
        <w:autoSpaceDN w:val="0"/>
        <w:bidi w:val="0"/>
        <w:adjustRightInd/>
        <w:snapToGrid/>
        <w:spacing w:line="42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               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pPr>
        <w:keepNext w:val="0"/>
        <w:keepLines w:val="0"/>
        <w:pageBreakBefore w:val="0"/>
        <w:widowControl w:val="0"/>
        <w:kinsoku/>
        <w:wordWrap/>
        <w:overflowPunct/>
        <w:topLinePunct w:val="0"/>
        <w:autoSpaceDE w:val="0"/>
        <w:autoSpaceDN w:val="0"/>
        <w:bidi w:val="0"/>
        <w:adjustRightInd/>
        <w:snapToGrid/>
        <w:spacing w:line="420" w:lineRule="exact"/>
        <w:ind w:firstLine="3360" w:firstLineChars="1400"/>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val="0"/>
        <w:autoSpaceDN w:val="0"/>
        <w:bidi w:val="0"/>
        <w:adjustRightInd/>
        <w:snapToGrid/>
        <w:spacing w:line="420" w:lineRule="exact"/>
        <w:ind w:firstLine="6240" w:firstLineChars="2600"/>
        <w:textAlignment w:val="auto"/>
        <w:rPr>
          <w:rFonts w:ascii="宋体" w:hAnsi="宋体" w:eastAsia="宋体" w:cs="宋体"/>
          <w:color w:val="000000"/>
          <w:sz w:val="24"/>
          <w:szCs w:val="24"/>
        </w:rPr>
      </w:pPr>
      <w:r>
        <w:rPr>
          <w:rFonts w:hint="eastAsia" w:ascii="宋体" w:hAnsi="宋体" w:eastAsia="宋体" w:cs="宋体"/>
          <w:color w:val="000000"/>
          <w:sz w:val="24"/>
          <w:szCs w:val="24"/>
        </w:rPr>
        <w:t>签约地点：中国武汉</w:t>
      </w:r>
    </w:p>
    <w:p>
      <w:pPr>
        <w:pStyle w:val="7"/>
        <w:spacing w:line="460" w:lineRule="exact"/>
        <w:rPr>
          <w:rFonts w:ascii="宋体" w:hAnsi="宋体" w:cs="宋体"/>
          <w:color w:val="000000"/>
          <w:kern w:val="0"/>
          <w:sz w:val="24"/>
          <w:szCs w:val="24"/>
        </w:rPr>
      </w:pPr>
      <w:r>
        <w:rPr>
          <w:rFonts w:hint="eastAsia" w:ascii="宋体" w:hAnsi="宋体" w:cs="宋体"/>
          <w:b/>
          <w:bCs/>
          <w:color w:val="000000"/>
          <w:sz w:val="24"/>
          <w:szCs w:val="24"/>
        </w:rPr>
        <w:br w:type="page"/>
      </w:r>
    </w:p>
    <w:p>
      <w:pPr>
        <w:pStyle w:val="14"/>
        <w:numPr>
          <w:ilvl w:val="0"/>
          <w:numId w:val="0"/>
        </w:numPr>
        <w:jc w:val="center"/>
        <w:outlineLvl w:val="0"/>
        <w:rPr>
          <w:rFonts w:ascii="宋体" w:hAnsi="宋体" w:eastAsia="宋体" w:cs="宋体"/>
          <w:color w:val="000000"/>
          <w:szCs w:val="30"/>
        </w:rPr>
      </w:pPr>
      <w:bookmarkStart w:id="33" w:name="_Toc16453_WPSOffice_Level1"/>
      <w:bookmarkStart w:id="34" w:name="_Toc15044"/>
      <w:bookmarkStart w:id="35" w:name="_Toc15981"/>
      <w:bookmarkStart w:id="36" w:name="_Toc226188673"/>
      <w:r>
        <w:rPr>
          <w:rFonts w:hint="eastAsia" w:ascii="宋体" w:hAnsi="宋体" w:eastAsia="宋体" w:cs="宋体"/>
          <w:color w:val="000000"/>
          <w:szCs w:val="30"/>
          <w:lang w:val="en-US" w:eastAsia="zh-CN"/>
        </w:rPr>
        <w:t>第四章、</w:t>
      </w:r>
      <w:r>
        <w:rPr>
          <w:rFonts w:hint="eastAsia" w:ascii="宋体" w:hAnsi="宋体" w:eastAsia="宋体" w:cs="宋体"/>
          <w:color w:val="000000"/>
          <w:szCs w:val="30"/>
        </w:rPr>
        <w:t>竞争性磋商响应文件格式</w:t>
      </w:r>
      <w:bookmarkEnd w:id="33"/>
      <w:bookmarkEnd w:id="34"/>
    </w:p>
    <w:p>
      <w:pPr>
        <w:spacing w:line="360" w:lineRule="auto"/>
        <w:rPr>
          <w:rFonts w:ascii="宋体" w:hAnsi="宋体" w:eastAsia="宋体" w:cs="宋体"/>
          <w:b/>
          <w:color w:val="000000"/>
          <w:sz w:val="24"/>
        </w:rPr>
      </w:pPr>
      <w:r>
        <w:rPr>
          <w:rFonts w:hint="eastAsia" w:ascii="宋体" w:hAnsi="宋体" w:eastAsia="宋体" w:cs="宋体"/>
          <w:b/>
          <w:color w:val="000000"/>
          <w:sz w:val="24"/>
        </w:rPr>
        <w:t xml:space="preserve">    </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一、法定代表人身份证明书（详见格式）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二、法定代表人授权书（详见格式）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rPr>
        <w:t>、磋商</w:t>
      </w:r>
      <w:r>
        <w:rPr>
          <w:rFonts w:hint="eastAsia" w:ascii="宋体" w:hAnsi="宋体" w:eastAsia="宋体" w:cs="宋体"/>
          <w:color w:val="000000"/>
          <w:sz w:val="24"/>
          <w:szCs w:val="24"/>
          <w:lang w:val="en-US" w:eastAsia="zh-CN"/>
        </w:rPr>
        <w:t>书</w:t>
      </w:r>
      <w:r>
        <w:rPr>
          <w:rFonts w:hint="eastAsia" w:ascii="宋体" w:hAnsi="宋体" w:eastAsia="宋体" w:cs="宋体"/>
          <w:color w:val="000000"/>
          <w:sz w:val="24"/>
          <w:szCs w:val="24"/>
        </w:rPr>
        <w:t>（详见格式）</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四</w:t>
      </w:r>
      <w:r>
        <w:rPr>
          <w:rFonts w:hint="eastAsia" w:ascii="宋体" w:hAnsi="宋体" w:eastAsia="宋体" w:cs="宋体"/>
          <w:color w:val="000000"/>
          <w:sz w:val="24"/>
          <w:szCs w:val="24"/>
        </w:rPr>
        <w:t>、开标一览表（详见格式）</w:t>
      </w:r>
    </w:p>
    <w:p>
      <w:pPr>
        <w:spacing w:line="360" w:lineRule="auto"/>
        <w:ind w:firstLine="480"/>
        <w:rPr>
          <w:rFonts w:ascii="宋体" w:hAnsi="宋体" w:eastAsia="宋体" w:cs="宋体"/>
          <w:bCs/>
          <w:color w:val="000000"/>
          <w:sz w:val="24"/>
          <w:szCs w:val="24"/>
        </w:rPr>
      </w:pPr>
      <w:r>
        <w:rPr>
          <w:rFonts w:hint="eastAsia" w:ascii="宋体" w:hAnsi="宋体" w:eastAsia="宋体" w:cs="宋体"/>
          <w:bCs/>
          <w:color w:val="000000"/>
          <w:sz w:val="24"/>
          <w:szCs w:val="24"/>
          <w:lang w:val="en-US" w:eastAsia="zh-CN"/>
        </w:rPr>
        <w:t>五</w:t>
      </w:r>
      <w:r>
        <w:rPr>
          <w:rFonts w:hint="eastAsia" w:ascii="宋体" w:hAnsi="宋体" w:eastAsia="宋体" w:cs="宋体"/>
          <w:bCs/>
          <w:color w:val="000000"/>
          <w:sz w:val="24"/>
          <w:szCs w:val="24"/>
        </w:rPr>
        <w:t>、投标人资格证明文件</w:t>
      </w:r>
    </w:p>
    <w:p>
      <w:pPr>
        <w:spacing w:line="360" w:lineRule="auto"/>
        <w:ind w:firstLine="480"/>
        <w:rPr>
          <w:rFonts w:hint="default"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六</w:t>
      </w:r>
      <w:r>
        <w:rPr>
          <w:rFonts w:hint="eastAsia" w:ascii="宋体" w:hAnsi="宋体" w:eastAsia="宋体" w:cs="宋体"/>
          <w:bCs/>
          <w:color w:val="000000"/>
          <w:sz w:val="24"/>
          <w:szCs w:val="24"/>
        </w:rPr>
        <w:t>、</w:t>
      </w:r>
      <w:r>
        <w:rPr>
          <w:rFonts w:hint="eastAsia" w:ascii="宋体" w:hAnsi="宋体" w:eastAsia="宋体" w:cs="宋体"/>
          <w:bCs/>
          <w:color w:val="000000"/>
          <w:sz w:val="24"/>
          <w:szCs w:val="24"/>
          <w:lang w:val="en-US" w:eastAsia="zh-CN"/>
        </w:rPr>
        <w:t>技术文件</w:t>
      </w:r>
    </w:p>
    <w:p>
      <w:pPr>
        <w:spacing w:line="360" w:lineRule="auto"/>
        <w:ind w:firstLine="495"/>
        <w:rPr>
          <w:rFonts w:ascii="宋体" w:hAnsi="宋体" w:eastAsia="宋体" w:cs="宋体"/>
          <w:color w:val="000000"/>
          <w:sz w:val="24"/>
          <w:szCs w:val="24"/>
        </w:rPr>
      </w:pPr>
    </w:p>
    <w:p>
      <w:pPr>
        <w:pStyle w:val="14"/>
        <w:rPr>
          <w:rFonts w:ascii="宋体" w:hAnsi="宋体" w:eastAsia="宋体" w:cs="宋体"/>
          <w:color w:val="000000"/>
          <w:sz w:val="21"/>
          <w:szCs w:val="21"/>
        </w:rPr>
      </w:pPr>
      <w:r>
        <w:rPr>
          <w:rFonts w:hint="eastAsia" w:ascii="宋体" w:hAnsi="宋体" w:eastAsia="宋体" w:cs="宋体"/>
          <w:color w:val="000000"/>
          <w:sz w:val="21"/>
          <w:szCs w:val="21"/>
        </w:rPr>
        <w:t xml:space="preserve">   </w:t>
      </w:r>
    </w:p>
    <w:p>
      <w:pPr>
        <w:pStyle w:val="14"/>
        <w:rPr>
          <w:rFonts w:ascii="宋体" w:hAnsi="宋体" w:eastAsia="宋体" w:cs="宋体"/>
          <w:color w:val="000000"/>
          <w:sz w:val="28"/>
          <w:szCs w:val="28"/>
        </w:rPr>
      </w:pPr>
      <w:r>
        <w:rPr>
          <w:rFonts w:hint="eastAsia" w:ascii="宋体" w:hAnsi="宋体" w:eastAsia="宋体" w:cs="宋体"/>
          <w:color w:val="000000"/>
          <w:sz w:val="24"/>
        </w:rPr>
        <w:br w:type="page"/>
      </w:r>
      <w:bookmarkEnd w:id="35"/>
      <w:bookmarkEnd w:id="36"/>
    </w:p>
    <w:p>
      <w:pPr>
        <w:ind w:firstLine="2951" w:firstLineChars="1050"/>
        <w:rPr>
          <w:rFonts w:ascii="宋体" w:hAnsi="宋体" w:eastAsia="宋体" w:cs="宋体"/>
          <w:b/>
          <w:color w:val="000000"/>
          <w:sz w:val="28"/>
          <w:szCs w:val="28"/>
        </w:rPr>
      </w:pPr>
    </w:p>
    <w:p>
      <w:pPr>
        <w:ind w:firstLine="2951" w:firstLineChars="1050"/>
        <w:rPr>
          <w:rFonts w:ascii="宋体" w:hAnsi="宋体" w:eastAsia="宋体" w:cs="宋体"/>
          <w:b/>
          <w:color w:val="000000"/>
          <w:sz w:val="28"/>
          <w:szCs w:val="28"/>
        </w:rPr>
      </w:pPr>
    </w:p>
    <w:p>
      <w:pPr>
        <w:ind w:firstLine="2951" w:firstLineChars="1050"/>
        <w:rPr>
          <w:rFonts w:ascii="宋体" w:hAnsi="宋体" w:eastAsia="宋体" w:cs="宋体"/>
          <w:b/>
          <w:color w:val="000000"/>
          <w:sz w:val="28"/>
          <w:szCs w:val="28"/>
        </w:rPr>
      </w:pPr>
    </w:p>
    <w:p>
      <w:pPr>
        <w:ind w:firstLine="2951" w:firstLineChars="1050"/>
        <w:rPr>
          <w:rFonts w:ascii="宋体" w:hAnsi="宋体" w:eastAsia="宋体" w:cs="宋体"/>
          <w:b/>
          <w:color w:val="000000"/>
          <w:sz w:val="28"/>
          <w:szCs w:val="28"/>
        </w:rPr>
      </w:pPr>
    </w:p>
    <w:p>
      <w:pPr>
        <w:rPr>
          <w:rFonts w:ascii="宋体" w:hAnsi="宋体" w:eastAsia="宋体" w:cs="宋体"/>
          <w:b/>
          <w:color w:val="000000"/>
          <w:sz w:val="28"/>
          <w:szCs w:val="28"/>
        </w:rPr>
      </w:pPr>
    </w:p>
    <w:p>
      <w:pPr>
        <w:ind w:firstLine="2650" w:firstLineChars="600"/>
        <w:jc w:val="left"/>
        <w:rPr>
          <w:rFonts w:ascii="宋体" w:hAnsi="宋体" w:eastAsia="宋体" w:cs="宋体"/>
          <w:b/>
          <w:color w:val="000000"/>
          <w:sz w:val="44"/>
          <w:szCs w:val="44"/>
        </w:rPr>
      </w:pPr>
      <w:r>
        <w:rPr>
          <w:rFonts w:hint="eastAsia" w:ascii="宋体" w:hAnsi="宋体" w:eastAsia="宋体" w:cs="宋体"/>
          <w:b/>
          <w:color w:val="000000"/>
          <w:sz w:val="44"/>
          <w:szCs w:val="44"/>
        </w:rPr>
        <w:t>竞争性磋商响应文件</w:t>
      </w: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ind w:firstLine="1820" w:firstLineChars="650"/>
        <w:rPr>
          <w:rFonts w:ascii="宋体" w:hAnsi="宋体" w:eastAsia="宋体" w:cs="宋体"/>
          <w:color w:val="000000"/>
          <w:sz w:val="28"/>
          <w:szCs w:val="28"/>
        </w:rPr>
      </w:pPr>
    </w:p>
    <w:p>
      <w:pPr>
        <w:ind w:firstLine="1820" w:firstLineChars="650"/>
        <w:rPr>
          <w:rFonts w:ascii="宋体" w:hAnsi="宋体" w:eastAsia="宋体" w:cs="宋体"/>
          <w:color w:val="000000"/>
          <w:sz w:val="28"/>
          <w:szCs w:val="28"/>
        </w:rPr>
      </w:pPr>
    </w:p>
    <w:p>
      <w:pPr>
        <w:spacing w:line="360" w:lineRule="auto"/>
        <w:ind w:firstLine="1820" w:firstLineChars="650"/>
        <w:rPr>
          <w:rFonts w:ascii="宋体" w:hAnsi="宋体" w:eastAsia="宋体" w:cs="宋体"/>
          <w:color w:val="000000"/>
          <w:sz w:val="28"/>
          <w:szCs w:val="28"/>
          <w:u w:val="single"/>
        </w:rPr>
      </w:pPr>
      <w:r>
        <w:rPr>
          <w:rFonts w:hint="eastAsia" w:ascii="宋体" w:hAnsi="宋体" w:eastAsia="宋体" w:cs="宋体"/>
          <w:color w:val="000000"/>
          <w:sz w:val="28"/>
          <w:szCs w:val="28"/>
        </w:rPr>
        <w:t>项目编号：</w:t>
      </w:r>
      <w:r>
        <w:rPr>
          <w:rFonts w:hint="eastAsia" w:ascii="宋体" w:hAnsi="宋体" w:eastAsia="宋体" w:cs="宋体"/>
          <w:color w:val="000000"/>
          <w:sz w:val="28"/>
          <w:szCs w:val="28"/>
          <w:u w:val="single"/>
        </w:rPr>
        <w:t xml:space="preserve">                                  </w:t>
      </w:r>
    </w:p>
    <w:p>
      <w:pPr>
        <w:spacing w:line="360" w:lineRule="auto"/>
        <w:ind w:firstLine="1820" w:firstLineChars="650"/>
        <w:rPr>
          <w:rFonts w:ascii="宋体" w:hAnsi="宋体" w:eastAsia="宋体" w:cs="宋体"/>
          <w:color w:val="000000"/>
          <w:sz w:val="28"/>
          <w:szCs w:val="28"/>
        </w:rPr>
      </w:pPr>
      <w:r>
        <w:rPr>
          <w:rFonts w:hint="eastAsia" w:ascii="宋体" w:hAnsi="宋体" w:eastAsia="宋体" w:cs="宋体"/>
          <w:color w:val="000000"/>
          <w:sz w:val="28"/>
          <w:szCs w:val="28"/>
        </w:rPr>
        <w:t>项目名称：</w:t>
      </w:r>
      <w:r>
        <w:rPr>
          <w:rFonts w:hint="eastAsia" w:ascii="宋体" w:hAnsi="宋体" w:eastAsia="宋体" w:cs="宋体"/>
          <w:color w:val="000000"/>
          <w:sz w:val="28"/>
          <w:szCs w:val="28"/>
          <w:u w:val="single"/>
        </w:rPr>
        <w:t xml:space="preserve">                                  </w:t>
      </w:r>
    </w:p>
    <w:p>
      <w:pPr>
        <w:spacing w:line="360" w:lineRule="auto"/>
        <w:ind w:firstLine="1820" w:firstLineChars="650"/>
        <w:rPr>
          <w:rFonts w:ascii="宋体" w:hAnsi="宋体" w:eastAsia="宋体" w:cs="宋体"/>
          <w:color w:val="000000"/>
          <w:sz w:val="28"/>
          <w:szCs w:val="28"/>
        </w:rPr>
      </w:pPr>
      <w:r>
        <w:rPr>
          <w:rFonts w:hint="eastAsia" w:ascii="宋体" w:hAnsi="宋体" w:eastAsia="宋体" w:cs="宋体"/>
          <w:color w:val="000000"/>
          <w:sz w:val="28"/>
          <w:szCs w:val="28"/>
        </w:rPr>
        <w:t>磋商单位：</w:t>
      </w:r>
      <w:r>
        <w:rPr>
          <w:rFonts w:hint="eastAsia" w:ascii="宋体" w:hAnsi="宋体" w:eastAsia="宋体" w:cs="宋体"/>
          <w:color w:val="000000"/>
          <w:sz w:val="28"/>
          <w:szCs w:val="28"/>
          <w:u w:val="single"/>
        </w:rPr>
        <w:t xml:space="preserve">                                  </w:t>
      </w:r>
    </w:p>
    <w:p>
      <w:pPr>
        <w:spacing w:line="360" w:lineRule="auto"/>
        <w:ind w:firstLine="1820" w:firstLineChars="650"/>
        <w:rPr>
          <w:rFonts w:ascii="宋体" w:hAnsi="宋体" w:eastAsia="宋体" w:cs="宋体"/>
          <w:color w:val="000000"/>
          <w:sz w:val="28"/>
          <w:szCs w:val="28"/>
        </w:rPr>
      </w:pPr>
      <w:r>
        <w:rPr>
          <w:rFonts w:hint="eastAsia" w:ascii="宋体" w:hAnsi="宋体" w:eastAsia="宋体" w:cs="宋体"/>
          <w:color w:val="000000"/>
          <w:sz w:val="28"/>
          <w:szCs w:val="28"/>
        </w:rPr>
        <w:t>时    间：</w:t>
      </w:r>
      <w:r>
        <w:rPr>
          <w:rFonts w:hint="eastAsia" w:ascii="宋体" w:hAnsi="宋体" w:eastAsia="宋体" w:cs="宋体"/>
          <w:color w:val="000000"/>
          <w:sz w:val="28"/>
          <w:szCs w:val="28"/>
          <w:u w:val="single"/>
        </w:rPr>
        <w:t xml:space="preserve">                                  </w:t>
      </w:r>
    </w:p>
    <w:p>
      <w:pPr>
        <w:ind w:firstLine="1820" w:firstLineChars="650"/>
        <w:rPr>
          <w:rFonts w:ascii="宋体" w:hAnsi="宋体" w:eastAsia="宋体" w:cs="宋体"/>
          <w:color w:val="000000"/>
          <w:sz w:val="28"/>
          <w:szCs w:val="28"/>
        </w:rPr>
      </w:pPr>
    </w:p>
    <w:p>
      <w:pPr>
        <w:ind w:firstLine="560" w:firstLineChars="200"/>
        <w:rPr>
          <w:rFonts w:ascii="宋体" w:hAnsi="宋体" w:eastAsia="宋体" w:cs="宋体"/>
          <w:color w:val="000000"/>
          <w:sz w:val="28"/>
          <w:szCs w:val="28"/>
        </w:rPr>
      </w:pPr>
    </w:p>
    <w:p>
      <w:pPr>
        <w:ind w:firstLine="560" w:firstLineChars="200"/>
        <w:rPr>
          <w:rFonts w:ascii="宋体" w:hAnsi="宋体" w:eastAsia="宋体" w:cs="宋体"/>
          <w:color w:val="000000"/>
          <w:sz w:val="28"/>
          <w:szCs w:val="28"/>
        </w:rPr>
      </w:pPr>
    </w:p>
    <w:p>
      <w:pPr>
        <w:ind w:firstLine="560" w:firstLineChars="200"/>
        <w:rPr>
          <w:rFonts w:ascii="宋体" w:hAnsi="宋体" w:eastAsia="宋体" w:cs="宋体"/>
          <w:color w:val="000000"/>
          <w:sz w:val="28"/>
          <w:szCs w:val="28"/>
        </w:rPr>
      </w:pPr>
    </w:p>
    <w:p>
      <w:pPr>
        <w:ind w:firstLine="560" w:firstLineChars="200"/>
        <w:rPr>
          <w:rFonts w:ascii="宋体" w:hAnsi="宋体" w:eastAsia="宋体" w:cs="宋体"/>
          <w:color w:val="000000"/>
          <w:sz w:val="28"/>
          <w:szCs w:val="28"/>
        </w:rPr>
      </w:pPr>
    </w:p>
    <w:p>
      <w:pPr>
        <w:ind w:firstLine="560" w:firstLineChars="200"/>
        <w:rPr>
          <w:rFonts w:ascii="宋体" w:hAnsi="宋体" w:eastAsia="宋体" w:cs="宋体"/>
          <w:color w:val="000000"/>
          <w:sz w:val="28"/>
          <w:szCs w:val="28"/>
        </w:rPr>
      </w:pPr>
    </w:p>
    <w:p>
      <w:pPr>
        <w:ind w:firstLine="560" w:firstLineChars="200"/>
        <w:rPr>
          <w:rFonts w:ascii="宋体" w:hAnsi="宋体" w:eastAsia="宋体" w:cs="宋体"/>
          <w:color w:val="000000"/>
          <w:sz w:val="28"/>
          <w:szCs w:val="28"/>
        </w:rPr>
      </w:pPr>
    </w:p>
    <w:p>
      <w:pPr>
        <w:ind w:firstLine="560" w:firstLineChars="200"/>
        <w:rPr>
          <w:rFonts w:ascii="宋体" w:hAnsi="宋体" w:eastAsia="宋体" w:cs="宋体"/>
          <w:color w:val="000000"/>
          <w:sz w:val="28"/>
          <w:szCs w:val="28"/>
        </w:rPr>
      </w:pPr>
    </w:p>
    <w:p>
      <w:pPr>
        <w:ind w:firstLine="560" w:firstLineChars="200"/>
        <w:rPr>
          <w:rFonts w:ascii="宋体" w:hAnsi="宋体" w:eastAsia="宋体" w:cs="宋体"/>
          <w:color w:val="000000"/>
          <w:sz w:val="28"/>
          <w:szCs w:val="28"/>
        </w:rPr>
      </w:pPr>
    </w:p>
    <w:p>
      <w:pPr>
        <w:ind w:firstLine="6860" w:firstLineChars="2450"/>
        <w:rPr>
          <w:rFonts w:ascii="宋体" w:hAnsi="宋体" w:eastAsia="宋体" w:cs="宋体"/>
          <w:color w:val="000000"/>
          <w:sz w:val="28"/>
          <w:szCs w:val="28"/>
        </w:rPr>
      </w:pPr>
    </w:p>
    <w:p>
      <w:pPr>
        <w:jc w:val="center"/>
        <w:rPr>
          <w:rFonts w:hint="eastAsia" w:ascii="宋体" w:hAnsi="宋体" w:eastAsia="宋体" w:cs="宋体"/>
          <w:color w:val="000000"/>
        </w:rPr>
      </w:pPr>
      <w:bookmarkStart w:id="37" w:name="_Toc477965448"/>
      <w:bookmarkStart w:id="38" w:name="_Toc477965460"/>
    </w:p>
    <w:p>
      <w:pPr>
        <w:jc w:val="center"/>
        <w:rPr>
          <w:rFonts w:hint="eastAsia" w:ascii="宋体" w:hAnsi="宋体" w:eastAsia="宋体" w:cs="宋体"/>
          <w:color w:val="000000"/>
        </w:rPr>
      </w:pPr>
    </w:p>
    <w:p>
      <w:pPr>
        <w:jc w:val="center"/>
        <w:rPr>
          <w:rFonts w:hint="eastAsia" w:ascii="宋体" w:hAnsi="宋体" w:eastAsia="宋体" w:cs="宋体"/>
          <w:color w:val="000000"/>
        </w:rPr>
      </w:pPr>
    </w:p>
    <w:p>
      <w:pPr>
        <w:jc w:val="center"/>
        <w:rPr>
          <w:rFonts w:hint="eastAsia" w:ascii="宋体" w:hAnsi="宋体" w:eastAsia="宋体" w:cs="宋体"/>
          <w:color w:val="000000"/>
        </w:rPr>
      </w:pPr>
    </w:p>
    <w:p>
      <w:pPr>
        <w:jc w:val="center"/>
        <w:rPr>
          <w:rFonts w:hint="eastAsia" w:ascii="宋体" w:hAnsi="宋体" w:eastAsia="宋体" w:cs="宋体"/>
          <w:color w:val="000000"/>
        </w:rPr>
      </w:pPr>
    </w:p>
    <w:p>
      <w:pPr>
        <w:jc w:val="center"/>
        <w:rPr>
          <w:rFonts w:hint="eastAsia" w:ascii="宋体" w:hAnsi="宋体" w:eastAsia="宋体" w:cs="宋体"/>
          <w:color w:val="000000"/>
        </w:rPr>
      </w:pPr>
    </w:p>
    <w:p>
      <w:pPr>
        <w:jc w:val="center"/>
        <w:rPr>
          <w:rFonts w:hint="eastAsia" w:ascii="宋体" w:hAnsi="宋体" w:eastAsia="宋体" w:cs="宋体"/>
          <w:color w:val="000000"/>
        </w:rPr>
      </w:pPr>
    </w:p>
    <w:p>
      <w:pPr>
        <w:jc w:val="center"/>
        <w:rPr>
          <w:rFonts w:hint="eastAsia" w:ascii="宋体" w:hAnsi="宋体" w:eastAsia="宋体" w:cs="宋体"/>
          <w:color w:val="000000"/>
        </w:rPr>
      </w:pPr>
    </w:p>
    <w:p>
      <w:pPr>
        <w:jc w:val="center"/>
        <w:rPr>
          <w:rFonts w:hint="eastAsia" w:ascii="宋体" w:hAnsi="宋体" w:eastAsia="宋体" w:cs="宋体"/>
          <w:color w:val="000000"/>
        </w:rPr>
      </w:pPr>
    </w:p>
    <w:p>
      <w:pPr>
        <w:jc w:val="center"/>
        <w:rPr>
          <w:rFonts w:hint="eastAsia" w:ascii="宋体" w:hAnsi="宋体" w:eastAsia="宋体" w:cs="宋体"/>
          <w:color w:val="000000"/>
          <w:sz w:val="24"/>
          <w:szCs w:val="24"/>
        </w:rPr>
      </w:pPr>
    </w:p>
    <w:p>
      <w:pPr>
        <w:jc w:val="center"/>
        <w:rPr>
          <w:rFonts w:hint="eastAsia" w:ascii="宋体" w:hAnsi="宋体" w:eastAsia="宋体" w:cs="宋体"/>
          <w:color w:val="000000"/>
          <w:sz w:val="24"/>
          <w:szCs w:val="24"/>
        </w:rPr>
      </w:pPr>
    </w:p>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竞争磋商文件格式</w:t>
      </w:r>
      <w:bookmarkEnd w:id="37"/>
      <w:bookmarkEnd w:id="38"/>
    </w:p>
    <w:p>
      <w:pPr>
        <w:spacing w:line="460" w:lineRule="exact"/>
        <w:rPr>
          <w:rFonts w:hint="eastAsia" w:ascii="宋体" w:hAnsi="宋体" w:eastAsia="宋体" w:cs="宋体"/>
          <w:color w:val="000000"/>
          <w:sz w:val="24"/>
          <w:szCs w:val="24"/>
        </w:rPr>
      </w:pPr>
    </w:p>
    <w:p>
      <w:pPr>
        <w:pStyle w:val="7"/>
        <w:spacing w:line="460" w:lineRule="exact"/>
        <w:ind w:firstLine="480" w:firstLineChars="200"/>
        <w:rPr>
          <w:rFonts w:hint="eastAsia" w:ascii="宋体" w:hAnsi="宋体" w:eastAsia="宋体" w:cs="宋体"/>
          <w:color w:val="000000"/>
          <w:sz w:val="24"/>
          <w:szCs w:val="24"/>
        </w:rPr>
      </w:pPr>
      <w:bookmarkStart w:id="39" w:name="_Toc535815712"/>
      <w:r>
        <w:rPr>
          <w:rFonts w:hint="eastAsia" w:ascii="宋体" w:hAnsi="宋体" w:eastAsia="宋体" w:cs="宋体"/>
          <w:color w:val="000000"/>
          <w:sz w:val="24"/>
          <w:szCs w:val="24"/>
        </w:rPr>
        <w:t>填写须知</w:t>
      </w:r>
    </w:p>
    <w:p>
      <w:pPr>
        <w:pStyle w:val="7"/>
        <w:spacing w:line="4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1、本章为部分格式，未规定格式的投标人自拟。</w:t>
      </w:r>
    </w:p>
    <w:p>
      <w:pPr>
        <w:pStyle w:val="7"/>
        <w:spacing w:line="4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2、参与磋商投标人应保证资料和填写的内容是真实和正确的。</w:t>
      </w:r>
    </w:p>
    <w:p>
      <w:pPr>
        <w:pStyle w:val="7"/>
        <w:spacing w:line="4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3、参与磋商投标人提交的资料将被保密，但不退还。</w:t>
      </w:r>
    </w:p>
    <w:p>
      <w:pPr>
        <w:pStyle w:val="7"/>
        <w:spacing w:line="460" w:lineRule="exact"/>
        <w:rPr>
          <w:rFonts w:ascii="宋体" w:hAnsi="宋体" w:cs="宋体"/>
          <w:color w:val="000000"/>
          <w:sz w:val="24"/>
          <w:szCs w:val="24"/>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pStyle w:val="7"/>
        <w:spacing w:line="460" w:lineRule="exact"/>
        <w:rPr>
          <w:rFonts w:ascii="宋体" w:hAnsi="宋体" w:cs="宋体"/>
          <w:color w:val="000000"/>
          <w:sz w:val="28"/>
          <w:szCs w:val="28"/>
        </w:rPr>
      </w:pPr>
    </w:p>
    <w:p>
      <w:pPr>
        <w:snapToGrid w:val="0"/>
        <w:spacing w:line="460" w:lineRule="exact"/>
        <w:rPr>
          <w:rFonts w:ascii="宋体" w:hAnsi="宋体" w:eastAsia="宋体" w:cs="宋体"/>
          <w:bCs/>
          <w:color w:val="000000"/>
          <w:sz w:val="28"/>
          <w:szCs w:val="28"/>
        </w:rPr>
      </w:pPr>
    </w:p>
    <w:p>
      <w:pPr>
        <w:pStyle w:val="6"/>
        <w:rPr>
          <w:rFonts w:ascii="宋体" w:hAnsi="宋体" w:eastAsia="宋体" w:cs="宋体"/>
          <w:color w:val="000000"/>
          <w:szCs w:val="32"/>
        </w:rPr>
      </w:pPr>
      <w:bookmarkStart w:id="40" w:name="_Toc473047342"/>
      <w:bookmarkStart w:id="41" w:name="_Toc8318"/>
    </w:p>
    <w:p>
      <w:pPr>
        <w:rPr>
          <w:rFonts w:ascii="宋体" w:hAnsi="宋体" w:eastAsia="宋体" w:cs="宋体"/>
        </w:rPr>
      </w:pPr>
    </w:p>
    <w:p>
      <w:pPr>
        <w:pStyle w:val="6"/>
        <w:jc w:val="both"/>
        <w:rPr>
          <w:rFonts w:hint="eastAsia" w:ascii="宋体" w:hAnsi="宋体" w:eastAsia="宋体" w:cs="宋体"/>
          <w:color w:val="000000"/>
          <w:szCs w:val="32"/>
        </w:rPr>
      </w:pPr>
    </w:p>
    <w:p>
      <w:pPr>
        <w:rPr>
          <w:rFonts w:hint="eastAsia" w:ascii="宋体" w:hAnsi="宋体" w:eastAsia="宋体" w:cs="宋体"/>
          <w:color w:val="000000"/>
          <w:szCs w:val="32"/>
        </w:rPr>
      </w:pPr>
    </w:p>
    <w:p>
      <w:pPr>
        <w:rPr>
          <w:rFonts w:hint="eastAsia" w:ascii="宋体" w:hAnsi="宋体" w:eastAsia="宋体" w:cs="宋体"/>
          <w:color w:val="000000"/>
          <w:szCs w:val="32"/>
        </w:rPr>
      </w:pPr>
    </w:p>
    <w:p>
      <w:pPr>
        <w:rPr>
          <w:rFonts w:hint="eastAsia" w:ascii="宋体" w:hAnsi="宋体" w:eastAsia="宋体" w:cs="宋体"/>
          <w:color w:val="000000"/>
          <w:szCs w:val="32"/>
        </w:rPr>
      </w:pPr>
    </w:p>
    <w:p>
      <w:pPr>
        <w:rPr>
          <w:rFonts w:hint="eastAsia" w:ascii="宋体" w:hAnsi="宋体" w:eastAsia="宋体" w:cs="宋体"/>
          <w:color w:val="000000"/>
          <w:szCs w:val="32"/>
        </w:rPr>
      </w:pPr>
    </w:p>
    <w:p>
      <w:pPr>
        <w:rPr>
          <w:rFonts w:hint="eastAsia" w:ascii="宋体" w:hAnsi="宋体" w:eastAsia="宋体" w:cs="宋体"/>
          <w:color w:val="000000"/>
          <w:szCs w:val="32"/>
        </w:rPr>
      </w:pPr>
    </w:p>
    <w:p>
      <w:pPr>
        <w:pStyle w:val="6"/>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一、法定代表人身份证明书</w:t>
      </w:r>
      <w:bookmarkEnd w:id="40"/>
      <w:bookmarkEnd w:id="41"/>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left="440" w:left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单位名称：</w:t>
      </w:r>
      <w:r>
        <w:rPr>
          <w:rFonts w:hint="eastAsia" w:asciiTheme="minorEastAsia" w:hAnsiTheme="minorEastAsia" w:eastAsiaTheme="minorEastAsia" w:cstheme="minorEastAsia"/>
          <w:color w:val="000000"/>
          <w:sz w:val="24"/>
          <w:szCs w:val="24"/>
          <w:u w:val="single"/>
        </w:rPr>
        <w:t xml:space="preserve">                                              </w:t>
      </w:r>
    </w:p>
    <w:p>
      <w:pPr>
        <w:pStyle w:val="7"/>
        <w:spacing w:line="460" w:lineRule="exact"/>
        <w:ind w:left="440" w:left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单位性质：</w:t>
      </w:r>
      <w:r>
        <w:rPr>
          <w:rFonts w:hint="eastAsia" w:asciiTheme="minorEastAsia" w:hAnsiTheme="minorEastAsia" w:eastAsiaTheme="minorEastAsia" w:cstheme="minorEastAsia"/>
          <w:color w:val="000000"/>
          <w:sz w:val="24"/>
          <w:szCs w:val="24"/>
          <w:u w:val="single"/>
        </w:rPr>
        <w:t xml:space="preserve">                                              </w:t>
      </w:r>
    </w:p>
    <w:p>
      <w:pPr>
        <w:pStyle w:val="7"/>
        <w:spacing w:line="460" w:lineRule="exact"/>
        <w:ind w:left="440" w:left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地    址：</w:t>
      </w:r>
      <w:r>
        <w:rPr>
          <w:rFonts w:hint="eastAsia" w:asciiTheme="minorEastAsia" w:hAnsiTheme="minorEastAsia" w:eastAsiaTheme="minorEastAsia" w:cstheme="minorEastAsia"/>
          <w:color w:val="000000"/>
          <w:sz w:val="24"/>
          <w:szCs w:val="24"/>
          <w:u w:val="single"/>
        </w:rPr>
        <w:t xml:space="preserve">                                              </w:t>
      </w:r>
    </w:p>
    <w:p>
      <w:pPr>
        <w:pStyle w:val="7"/>
        <w:spacing w:line="460" w:lineRule="exact"/>
        <w:ind w:left="440" w:left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成立时间：</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年</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日</w:t>
      </w:r>
    </w:p>
    <w:p>
      <w:pPr>
        <w:pStyle w:val="7"/>
        <w:spacing w:line="460" w:lineRule="exact"/>
        <w:ind w:left="440" w:left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经营期限：</w:t>
      </w:r>
      <w:r>
        <w:rPr>
          <w:rFonts w:hint="eastAsia" w:asciiTheme="minorEastAsia" w:hAnsiTheme="minorEastAsia" w:eastAsiaTheme="minorEastAsia" w:cstheme="minorEastAsia"/>
          <w:color w:val="000000"/>
          <w:sz w:val="24"/>
          <w:szCs w:val="24"/>
          <w:u w:val="single"/>
        </w:rPr>
        <w:t xml:space="preserve">                                              </w:t>
      </w:r>
    </w:p>
    <w:p>
      <w:pPr>
        <w:pStyle w:val="7"/>
        <w:spacing w:line="460" w:lineRule="exact"/>
        <w:ind w:left="440" w:left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姓    名：</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性别：</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年龄：</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职务：</w:t>
      </w:r>
      <w:r>
        <w:rPr>
          <w:rFonts w:hint="eastAsia" w:asciiTheme="minorEastAsia" w:hAnsiTheme="minorEastAsia" w:eastAsiaTheme="minorEastAsia" w:cstheme="minorEastAsia"/>
          <w:color w:val="000000"/>
          <w:sz w:val="24"/>
          <w:szCs w:val="24"/>
          <w:u w:val="single"/>
        </w:rPr>
        <w:t xml:space="preserve">     </w:t>
      </w:r>
    </w:p>
    <w:p>
      <w:pPr>
        <w:pStyle w:val="7"/>
        <w:spacing w:line="460" w:lineRule="exact"/>
        <w:ind w:left="440" w:left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系</w:t>
      </w:r>
      <w:r>
        <w:rPr>
          <w:rFonts w:hint="eastAsia" w:asciiTheme="minorEastAsia" w:hAnsiTheme="minorEastAsia" w:eastAsiaTheme="minorEastAsia" w:cstheme="minorEastAsia"/>
          <w:color w:val="000000"/>
          <w:sz w:val="24"/>
          <w:szCs w:val="24"/>
          <w:u w:val="single"/>
        </w:rPr>
        <w:t xml:space="preserve">          （参与磋商投标人单位名称）            </w:t>
      </w:r>
      <w:r>
        <w:rPr>
          <w:rFonts w:hint="eastAsia" w:asciiTheme="minorEastAsia" w:hAnsiTheme="minorEastAsia" w:eastAsiaTheme="minorEastAsia" w:cstheme="minorEastAsia"/>
          <w:color w:val="000000"/>
          <w:sz w:val="24"/>
          <w:szCs w:val="24"/>
        </w:rPr>
        <w:t>的法定代表人。</w:t>
      </w:r>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left="440" w:left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特此证明。</w:t>
      </w:r>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left="440" w:leftChars="200"/>
        <w:rPr>
          <w:rFonts w:hint="eastAsia" w:asciiTheme="minorEastAsia" w:hAnsiTheme="minorEastAsia" w:eastAsiaTheme="minorEastAsia" w:cstheme="minorEastAsia"/>
          <w:color w:val="000000"/>
          <w:sz w:val="24"/>
          <w:szCs w:val="24"/>
        </w:rPr>
      </w:pPr>
    </w:p>
    <w:p>
      <w:pPr>
        <w:pStyle w:val="7"/>
        <w:spacing w:line="460" w:lineRule="exact"/>
        <w:ind w:firstLine="2280" w:firstLineChars="950"/>
        <w:jc w:val="righ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参与磋商投标人：</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（盖章）</w:t>
      </w:r>
    </w:p>
    <w:p>
      <w:pPr>
        <w:pStyle w:val="7"/>
        <w:spacing w:line="460" w:lineRule="exact"/>
        <w:ind w:firstLine="4080" w:firstLineChars="17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日        期：</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年</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日</w:t>
      </w:r>
    </w:p>
    <w:p>
      <w:pPr>
        <w:pStyle w:val="7"/>
        <w:spacing w:line="460" w:lineRule="exact"/>
        <w:rPr>
          <w:rFonts w:hint="eastAsia" w:asciiTheme="minorEastAsia" w:hAnsiTheme="minorEastAsia" w:eastAsiaTheme="minorEastAsia" w:cstheme="minorEastAsia"/>
          <w:color w:val="000000"/>
          <w:sz w:val="24"/>
          <w:szCs w:val="24"/>
        </w:rPr>
      </w:pPr>
    </w:p>
    <w:p>
      <w:pPr>
        <w:pStyle w:val="7"/>
        <w:spacing w:line="460" w:lineRule="exact"/>
        <w:rPr>
          <w:rFonts w:hint="eastAsia" w:asciiTheme="minorEastAsia" w:hAnsiTheme="minorEastAsia" w:eastAsiaTheme="minorEastAsia" w:cstheme="minorEastAsia"/>
          <w:color w:val="000000"/>
          <w:sz w:val="24"/>
          <w:szCs w:val="24"/>
        </w:rPr>
      </w:pPr>
    </w:p>
    <w:p>
      <w:pPr>
        <w:pStyle w:val="7"/>
        <w:spacing w:line="460" w:lineRule="exact"/>
        <w:rPr>
          <w:rFonts w:hint="eastAsia" w:asciiTheme="minorEastAsia" w:hAnsiTheme="minorEastAsia" w:eastAsiaTheme="minorEastAsia" w:cstheme="minorEastAsia"/>
          <w:color w:val="000000"/>
          <w:sz w:val="24"/>
          <w:szCs w:val="24"/>
        </w:rPr>
      </w:pPr>
    </w:p>
    <w:p>
      <w:pPr>
        <w:spacing w:line="460" w:lineRule="exact"/>
        <w:rPr>
          <w:rFonts w:hint="eastAsia" w:asciiTheme="minorEastAsia" w:hAnsiTheme="minorEastAsia" w:eastAsiaTheme="minorEastAsia" w:cstheme="minorEastAsia"/>
          <w:color w:val="000000"/>
          <w:sz w:val="24"/>
          <w:szCs w:val="24"/>
        </w:rPr>
      </w:pPr>
    </w:p>
    <w:p>
      <w:pPr>
        <w:spacing w:line="460" w:lineRule="exact"/>
        <w:rPr>
          <w:rFonts w:hint="eastAsia" w:asciiTheme="minorEastAsia" w:hAnsiTheme="minorEastAsia" w:eastAsiaTheme="minorEastAsia" w:cstheme="minorEastAsia"/>
          <w:color w:val="000000"/>
          <w:sz w:val="24"/>
          <w:szCs w:val="24"/>
        </w:rPr>
      </w:pPr>
    </w:p>
    <w:p>
      <w:pPr>
        <w:spacing w:line="460" w:lineRule="exact"/>
        <w:rPr>
          <w:rFonts w:hint="eastAsia" w:asciiTheme="minorEastAsia" w:hAnsiTheme="minorEastAsia" w:eastAsiaTheme="minorEastAsia" w:cstheme="minorEastAsia"/>
          <w:color w:val="000000"/>
          <w:sz w:val="24"/>
          <w:szCs w:val="24"/>
        </w:rPr>
      </w:pPr>
    </w:p>
    <w:p>
      <w:pPr>
        <w:pStyle w:val="6"/>
        <w:jc w:val="both"/>
        <w:rPr>
          <w:rFonts w:hint="eastAsia" w:asciiTheme="minorEastAsia" w:hAnsiTheme="minorEastAsia" w:eastAsiaTheme="minorEastAsia" w:cstheme="minorEastAsia"/>
          <w:color w:val="000000"/>
          <w:sz w:val="24"/>
          <w:szCs w:val="24"/>
        </w:rPr>
      </w:pPr>
      <w:bookmarkStart w:id="42" w:name="_Toc14404"/>
      <w:bookmarkStart w:id="43" w:name="_Toc473047343"/>
    </w:p>
    <w:p>
      <w:pPr>
        <w:pStyle w:val="6"/>
        <w:jc w:val="both"/>
        <w:rPr>
          <w:rFonts w:hint="eastAsia" w:asciiTheme="minorEastAsia" w:hAnsiTheme="minorEastAsia" w:eastAsiaTheme="minorEastAsia" w:cstheme="minorEastAsia"/>
          <w:color w:val="000000"/>
          <w:sz w:val="24"/>
          <w:szCs w:val="24"/>
        </w:rPr>
      </w:pPr>
    </w:p>
    <w:p>
      <w:pPr>
        <w:rPr>
          <w:rFonts w:hint="eastAsia" w:asciiTheme="minorEastAsia" w:hAnsiTheme="minorEastAsia" w:eastAsiaTheme="minorEastAsia" w:cstheme="minorEastAsia"/>
          <w:color w:val="000000"/>
          <w:sz w:val="24"/>
          <w:szCs w:val="24"/>
        </w:rPr>
      </w:pPr>
    </w:p>
    <w:p>
      <w:pPr>
        <w:rPr>
          <w:rFonts w:hint="eastAsia" w:asciiTheme="minorEastAsia" w:hAnsiTheme="minorEastAsia" w:eastAsiaTheme="minorEastAsia" w:cstheme="minorEastAsia"/>
          <w:color w:val="000000"/>
          <w:sz w:val="24"/>
          <w:szCs w:val="24"/>
        </w:rPr>
      </w:pPr>
    </w:p>
    <w:p>
      <w:pPr>
        <w:pStyle w:val="6"/>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二、法定代表人授权委托书</w:t>
      </w:r>
      <w:bookmarkEnd w:id="42"/>
      <w:bookmarkEnd w:id="43"/>
    </w:p>
    <w:p>
      <w:pPr>
        <w:snapToGrid w:val="0"/>
        <w:spacing w:line="460" w:lineRule="exact"/>
        <w:rPr>
          <w:rFonts w:hint="eastAsia" w:asciiTheme="minorEastAsia" w:hAnsiTheme="minorEastAsia" w:eastAsiaTheme="minorEastAsia" w:cstheme="minorEastAsia"/>
          <w:bCs/>
          <w:color w:val="000000"/>
          <w:sz w:val="24"/>
          <w:szCs w:val="24"/>
        </w:rPr>
      </w:pPr>
    </w:p>
    <w:p>
      <w:pPr>
        <w:snapToGrid w:val="0"/>
        <w:spacing w:line="460" w:lineRule="exact"/>
        <w:jc w:val="center"/>
        <w:rPr>
          <w:rFonts w:hint="eastAsia" w:asciiTheme="minorEastAsia" w:hAnsiTheme="minorEastAsia" w:eastAsiaTheme="minorEastAsia" w:cstheme="minorEastAsia"/>
          <w:b/>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本授权委托书声明：我</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i/>
          <w:color w:val="000000"/>
          <w:sz w:val="24"/>
          <w:szCs w:val="24"/>
          <w:u w:val="single"/>
        </w:rPr>
        <w:t xml:space="preserve">（法定代表人姓名）  </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，系</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i/>
          <w:color w:val="000000"/>
          <w:sz w:val="24"/>
          <w:szCs w:val="24"/>
          <w:u w:val="single"/>
        </w:rPr>
        <w:t xml:space="preserve">（参与磋商投标人名称） </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的法定代表人，现授权委托</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i/>
          <w:color w:val="000000"/>
          <w:sz w:val="24"/>
          <w:szCs w:val="24"/>
          <w:u w:val="single"/>
        </w:rPr>
        <w:t xml:space="preserve">（授权代理人姓名） </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为我公司委托代理人，以本公司的名义参加</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i/>
          <w:color w:val="000000"/>
          <w:sz w:val="24"/>
          <w:szCs w:val="24"/>
          <w:u w:val="single"/>
        </w:rPr>
        <w:t xml:space="preserve">（项目名称） </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的</w:t>
      </w:r>
      <w:r>
        <w:rPr>
          <w:rFonts w:hint="eastAsia" w:asciiTheme="minorEastAsia" w:hAnsiTheme="minorEastAsia" w:eastAsiaTheme="minorEastAsia" w:cstheme="minorEastAsia"/>
          <w:color w:val="000000"/>
          <w:sz w:val="24"/>
          <w:szCs w:val="24"/>
        </w:rPr>
        <w:t>磋商</w:t>
      </w:r>
      <w:r>
        <w:rPr>
          <w:rFonts w:hint="eastAsia" w:asciiTheme="minorEastAsia" w:hAnsiTheme="minorEastAsia" w:eastAsiaTheme="minorEastAsia" w:cstheme="minorEastAsia"/>
          <w:bCs/>
          <w:color w:val="000000"/>
          <w:sz w:val="24"/>
          <w:szCs w:val="24"/>
        </w:rPr>
        <w:t>活动，委托代理人在</w:t>
      </w:r>
      <w:r>
        <w:rPr>
          <w:rFonts w:hint="eastAsia" w:asciiTheme="minorEastAsia" w:hAnsiTheme="minorEastAsia" w:eastAsiaTheme="minorEastAsia" w:cstheme="minorEastAsia"/>
          <w:color w:val="000000"/>
          <w:sz w:val="24"/>
          <w:szCs w:val="24"/>
        </w:rPr>
        <w:t>磋商</w:t>
      </w:r>
      <w:r>
        <w:rPr>
          <w:rFonts w:hint="eastAsia" w:asciiTheme="minorEastAsia" w:hAnsiTheme="minorEastAsia" w:eastAsiaTheme="minorEastAsia" w:cstheme="minorEastAsia"/>
          <w:bCs/>
          <w:color w:val="000000"/>
          <w:sz w:val="24"/>
          <w:szCs w:val="24"/>
        </w:rPr>
        <w:t>、评审、合同谈判、签约及办理相关公证等过程中所签署的一切文件和处理与之有关的一切事务，我均予承认。</w:t>
      </w:r>
    </w:p>
    <w:p>
      <w:pPr>
        <w:snapToGrid w:val="0"/>
        <w:spacing w:line="460" w:lineRule="exact"/>
        <w:ind w:firstLine="48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该授权代理人无转委托权。</w:t>
      </w: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特此授权。</w:t>
      </w:r>
    </w:p>
    <w:p>
      <w:pPr>
        <w:snapToGrid w:val="0"/>
        <w:spacing w:line="460" w:lineRule="exact"/>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（附授权代理人有效身份证件复印件）</w:t>
      </w: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ind w:firstLine="480"/>
        <w:rPr>
          <w:rFonts w:hint="eastAsia" w:asciiTheme="minorEastAsia" w:hAnsiTheme="minorEastAsia" w:eastAsiaTheme="minorEastAsia" w:cstheme="minorEastAsia"/>
          <w:bCs/>
          <w:color w:val="000000"/>
          <w:sz w:val="24"/>
          <w:szCs w:val="24"/>
        </w:rPr>
      </w:pPr>
    </w:p>
    <w:p>
      <w:pPr>
        <w:snapToGrid w:val="0"/>
        <w:spacing w:line="460" w:lineRule="exact"/>
        <w:rPr>
          <w:rFonts w:hint="eastAsia" w:asciiTheme="minorEastAsia" w:hAnsiTheme="minorEastAsia" w:eastAsiaTheme="minorEastAsia" w:cstheme="minorEastAsia"/>
          <w:bCs/>
          <w:color w:val="000000"/>
          <w:sz w:val="24"/>
          <w:szCs w:val="24"/>
        </w:rPr>
      </w:pPr>
    </w:p>
    <w:p>
      <w:pPr>
        <w:snapToGrid w:val="0"/>
        <w:spacing w:line="460" w:lineRule="exact"/>
        <w:rPr>
          <w:rFonts w:hint="eastAsia" w:asciiTheme="minorEastAsia" w:hAnsiTheme="minorEastAsia" w:eastAsiaTheme="minorEastAsia" w:cstheme="minorEastAsia"/>
          <w:bCs/>
          <w:color w:val="000000"/>
          <w:sz w:val="24"/>
          <w:szCs w:val="24"/>
        </w:rPr>
      </w:pPr>
    </w:p>
    <w:p>
      <w:pPr>
        <w:snapToGrid w:val="0"/>
        <w:spacing w:line="460" w:lineRule="exact"/>
        <w:ind w:firstLine="3120" w:firstLineChars="1300"/>
        <w:rPr>
          <w:rFonts w:hint="eastAsia" w:asciiTheme="minorEastAsia" w:hAnsiTheme="minorEastAsia" w:eastAsiaTheme="minorEastAsia" w:cstheme="minorEastAsia"/>
          <w:bCs/>
          <w:color w:val="000000"/>
          <w:sz w:val="24"/>
          <w:szCs w:val="24"/>
          <w:u w:val="single"/>
        </w:rPr>
      </w:pPr>
      <w:r>
        <w:rPr>
          <w:rFonts w:hint="eastAsia" w:asciiTheme="minorEastAsia" w:hAnsiTheme="minorEastAsia" w:eastAsiaTheme="minorEastAsia" w:cstheme="minorEastAsia"/>
          <w:bCs/>
          <w:color w:val="000000"/>
          <w:sz w:val="24"/>
          <w:szCs w:val="24"/>
        </w:rPr>
        <w:t>参与磋商投标人（公章）：</w:t>
      </w:r>
      <w:r>
        <w:rPr>
          <w:rFonts w:hint="eastAsia" w:asciiTheme="minorEastAsia" w:hAnsiTheme="minorEastAsia" w:eastAsiaTheme="minorEastAsia" w:cstheme="minorEastAsia"/>
          <w:bCs/>
          <w:color w:val="000000"/>
          <w:sz w:val="24"/>
          <w:szCs w:val="24"/>
          <w:u w:val="single"/>
        </w:rPr>
        <w:t xml:space="preserve">                                </w:t>
      </w:r>
    </w:p>
    <w:p>
      <w:pPr>
        <w:snapToGrid w:val="0"/>
        <w:spacing w:line="460" w:lineRule="exact"/>
        <w:ind w:firstLine="3120" w:firstLineChars="1300"/>
        <w:rPr>
          <w:rFonts w:hint="eastAsia" w:asciiTheme="minorEastAsia" w:hAnsiTheme="minorEastAsia" w:eastAsiaTheme="minorEastAsia" w:cstheme="minorEastAsia"/>
          <w:bCs/>
          <w:color w:val="000000"/>
          <w:sz w:val="24"/>
          <w:szCs w:val="24"/>
          <w:u w:val="single"/>
        </w:rPr>
      </w:pPr>
      <w:r>
        <w:rPr>
          <w:rFonts w:hint="eastAsia" w:asciiTheme="minorEastAsia" w:hAnsiTheme="minorEastAsia" w:eastAsiaTheme="minorEastAsia" w:cstheme="minorEastAsia"/>
          <w:bCs/>
          <w:color w:val="000000"/>
          <w:sz w:val="24"/>
          <w:szCs w:val="24"/>
        </w:rPr>
        <w:t>法定代表人（签字或印章）：</w:t>
      </w:r>
      <w:r>
        <w:rPr>
          <w:rFonts w:hint="eastAsia" w:asciiTheme="minorEastAsia" w:hAnsiTheme="minorEastAsia" w:eastAsiaTheme="minorEastAsia" w:cstheme="minorEastAsia"/>
          <w:bCs/>
          <w:color w:val="000000"/>
          <w:sz w:val="24"/>
          <w:szCs w:val="24"/>
          <w:u w:val="single"/>
        </w:rPr>
        <w:t xml:space="preserve">                              </w:t>
      </w:r>
    </w:p>
    <w:p>
      <w:pPr>
        <w:snapToGrid w:val="0"/>
        <w:spacing w:line="460" w:lineRule="exact"/>
        <w:ind w:left="3720" w:hanging="3720" w:hangingChars="1550"/>
        <w:rPr>
          <w:rFonts w:hint="eastAsia" w:asciiTheme="minorEastAsia" w:hAnsiTheme="minorEastAsia" w:eastAsiaTheme="minorEastAsia" w:cstheme="minorEastAsia"/>
          <w:bCs/>
          <w:color w:val="000000"/>
          <w:sz w:val="24"/>
          <w:szCs w:val="24"/>
          <w:u w:val="single"/>
        </w:rPr>
      </w:pPr>
      <w:r>
        <w:rPr>
          <w:rFonts w:hint="eastAsia" w:asciiTheme="minorEastAsia" w:hAnsiTheme="minorEastAsia" w:eastAsiaTheme="minorEastAsia" w:cstheme="minorEastAsia"/>
          <w:bCs/>
          <w:color w:val="000000"/>
          <w:sz w:val="24"/>
          <w:szCs w:val="24"/>
        </w:rPr>
        <w:t xml:space="preserve">                          代理人姓名：</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 xml:space="preserve"> 性别：</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年龄：</w:t>
      </w:r>
      <w:r>
        <w:rPr>
          <w:rFonts w:hint="eastAsia" w:asciiTheme="minorEastAsia" w:hAnsiTheme="minorEastAsia" w:eastAsiaTheme="minorEastAsia" w:cstheme="minorEastAsia"/>
          <w:bCs/>
          <w:color w:val="000000"/>
          <w:sz w:val="24"/>
          <w:szCs w:val="24"/>
          <w:u w:val="single"/>
        </w:rPr>
        <w:t xml:space="preserve">         </w:t>
      </w:r>
    </w:p>
    <w:p>
      <w:pPr>
        <w:snapToGrid w:val="0"/>
        <w:spacing w:line="460" w:lineRule="exact"/>
        <w:ind w:firstLine="3120" w:firstLineChars="1300"/>
        <w:rPr>
          <w:rFonts w:hint="eastAsia" w:asciiTheme="minorEastAsia" w:hAnsiTheme="minorEastAsia" w:eastAsiaTheme="minorEastAsia" w:cstheme="minorEastAsia"/>
          <w:bCs/>
          <w:color w:val="000000"/>
          <w:sz w:val="24"/>
          <w:szCs w:val="24"/>
          <w:u w:val="single"/>
        </w:rPr>
      </w:pPr>
      <w:r>
        <w:rPr>
          <w:rFonts w:hint="eastAsia" w:asciiTheme="minorEastAsia" w:hAnsiTheme="minorEastAsia" w:eastAsiaTheme="minorEastAsia" w:cstheme="minorEastAsia"/>
          <w:bCs/>
          <w:color w:val="000000"/>
          <w:sz w:val="24"/>
          <w:szCs w:val="24"/>
        </w:rPr>
        <w:t>职务：</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 xml:space="preserve"> </w:t>
      </w:r>
    </w:p>
    <w:p>
      <w:pPr>
        <w:snapToGrid w:val="0"/>
        <w:spacing w:line="460" w:lineRule="exact"/>
        <w:rPr>
          <w:rFonts w:hint="eastAsia" w:asciiTheme="minorEastAsia" w:hAnsiTheme="minorEastAsia" w:eastAsiaTheme="minorEastAsia" w:cstheme="minorEastAsia"/>
          <w:bCs/>
          <w:color w:val="000000"/>
          <w:sz w:val="24"/>
          <w:szCs w:val="24"/>
          <w:u w:val="single"/>
        </w:rPr>
      </w:pPr>
      <w:r>
        <w:rPr>
          <w:rFonts w:hint="eastAsia" w:asciiTheme="minorEastAsia" w:hAnsiTheme="minorEastAsia" w:eastAsiaTheme="minorEastAsia" w:cstheme="minorEastAsia"/>
          <w:bCs/>
          <w:color w:val="000000"/>
          <w:sz w:val="24"/>
          <w:szCs w:val="24"/>
        </w:rPr>
        <w:t xml:space="preserve">                          授权委托日期：</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年</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月</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日</w:t>
      </w:r>
    </w:p>
    <w:p>
      <w:pPr>
        <w:snapToGrid w:val="0"/>
        <w:spacing w:line="460" w:lineRule="exact"/>
        <w:rPr>
          <w:rFonts w:hint="eastAsia" w:asciiTheme="minorEastAsia" w:hAnsiTheme="minorEastAsia" w:eastAsiaTheme="minorEastAsia" w:cstheme="minorEastAsia"/>
          <w:bCs/>
          <w:color w:val="000000"/>
          <w:sz w:val="24"/>
          <w:szCs w:val="24"/>
        </w:rPr>
      </w:pPr>
    </w:p>
    <w:p>
      <w:pPr>
        <w:snapToGrid w:val="0"/>
        <w:spacing w:line="460" w:lineRule="exact"/>
        <w:rPr>
          <w:rFonts w:hint="eastAsia" w:asciiTheme="minorEastAsia" w:hAnsiTheme="minorEastAsia" w:eastAsiaTheme="minorEastAsia" w:cstheme="minorEastAsia"/>
          <w:bCs/>
          <w:color w:val="000000"/>
          <w:sz w:val="24"/>
          <w:szCs w:val="24"/>
        </w:rPr>
      </w:pPr>
    </w:p>
    <w:p>
      <w:pPr>
        <w:pStyle w:val="6"/>
        <w:rPr>
          <w:rFonts w:hint="eastAsia" w:asciiTheme="minorEastAsia" w:hAnsiTheme="minorEastAsia" w:eastAsiaTheme="minorEastAsia" w:cstheme="minorEastAsia"/>
          <w:color w:val="000000"/>
          <w:sz w:val="28"/>
          <w:szCs w:val="28"/>
        </w:rPr>
      </w:pPr>
      <w:bookmarkStart w:id="44" w:name="_Toc473047344"/>
      <w:bookmarkStart w:id="45" w:name="_Toc6337"/>
      <w:bookmarkStart w:id="46" w:name="_Toc120411848"/>
      <w:r>
        <w:rPr>
          <w:rFonts w:hint="eastAsia" w:asciiTheme="minorEastAsia" w:hAnsiTheme="minorEastAsia" w:eastAsiaTheme="minorEastAsia" w:cstheme="minorEastAsia"/>
          <w:color w:val="000000"/>
          <w:sz w:val="28"/>
          <w:szCs w:val="28"/>
        </w:rPr>
        <w:t>三、磋商</w:t>
      </w:r>
      <w:bookmarkEnd w:id="44"/>
      <w:bookmarkEnd w:id="45"/>
      <w:bookmarkEnd w:id="46"/>
      <w:r>
        <w:rPr>
          <w:rFonts w:hint="eastAsia" w:asciiTheme="minorEastAsia" w:hAnsiTheme="minorEastAsia" w:eastAsiaTheme="minorEastAsia" w:cstheme="minorEastAsia"/>
          <w:color w:val="000000"/>
          <w:sz w:val="28"/>
          <w:szCs w:val="28"/>
        </w:rPr>
        <w:t>书</w:t>
      </w:r>
    </w:p>
    <w:bookmarkEnd w:id="39"/>
    <w:p>
      <w:pPr>
        <w:pStyle w:val="8"/>
        <w:spacing w:line="400" w:lineRule="exact"/>
        <w:rPr>
          <w:rFonts w:hint="eastAsia" w:asciiTheme="minorEastAsia" w:hAnsiTheme="minorEastAsia" w:eastAsiaTheme="minorEastAsia" w:cstheme="minorEastAsia"/>
          <w:color w:val="000000"/>
          <w:sz w:val="24"/>
          <w:szCs w:val="24"/>
          <w:u w:val="single"/>
        </w:rPr>
      </w:pPr>
      <w:bookmarkStart w:id="47" w:name="_Toc120411853"/>
      <w:r>
        <w:rPr>
          <w:rFonts w:hint="eastAsia" w:asciiTheme="minorEastAsia" w:hAnsiTheme="minorEastAsia" w:eastAsiaTheme="minorEastAsia" w:cstheme="minorEastAsia"/>
          <w:color w:val="000000"/>
          <w:sz w:val="24"/>
          <w:szCs w:val="24"/>
        </w:rPr>
        <w:t>致：（政府</w:t>
      </w:r>
      <w:r>
        <w:rPr>
          <w:rFonts w:hint="eastAsia" w:asciiTheme="minorEastAsia" w:hAnsiTheme="minorEastAsia" w:eastAsiaTheme="minorEastAsia" w:cstheme="minorEastAsia"/>
          <w:color w:val="000000"/>
          <w:sz w:val="24"/>
          <w:szCs w:val="24"/>
          <w:u w:val="single"/>
        </w:rPr>
        <w:t>采购代理机构和招标人）</w:t>
      </w:r>
    </w:p>
    <w:p>
      <w:pPr>
        <w:pStyle w:val="8"/>
        <w:spacing w:line="40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根据贵方为</w:t>
      </w:r>
      <w:r>
        <w:rPr>
          <w:rFonts w:hint="eastAsia" w:asciiTheme="minorEastAsia" w:hAnsiTheme="minorEastAsia" w:eastAsiaTheme="minorEastAsia" w:cstheme="minorEastAsia"/>
          <w:color w:val="000000"/>
          <w:sz w:val="24"/>
          <w:szCs w:val="24"/>
          <w:u w:val="single"/>
        </w:rPr>
        <w:t xml:space="preserve">  (项目名称)  </w:t>
      </w:r>
      <w:r>
        <w:rPr>
          <w:rFonts w:hint="eastAsia" w:asciiTheme="minorEastAsia" w:hAnsiTheme="minorEastAsia" w:eastAsiaTheme="minorEastAsia" w:cstheme="minorEastAsia"/>
          <w:color w:val="000000"/>
          <w:sz w:val="24"/>
          <w:szCs w:val="24"/>
        </w:rPr>
        <w:t>项目招标的磋商邀请</w:t>
      </w:r>
      <w:r>
        <w:rPr>
          <w:rFonts w:hint="eastAsia" w:asciiTheme="minorEastAsia" w:hAnsiTheme="minorEastAsia" w:eastAsiaTheme="minorEastAsia" w:cstheme="minorEastAsia"/>
          <w:color w:val="000000"/>
          <w:sz w:val="24"/>
          <w:szCs w:val="24"/>
          <w:u w:val="single"/>
        </w:rPr>
        <w:t>(招标编号)</w:t>
      </w:r>
      <w:r>
        <w:rPr>
          <w:rFonts w:hint="eastAsia" w:asciiTheme="minorEastAsia" w:hAnsiTheme="minorEastAsia" w:eastAsiaTheme="minorEastAsia" w:cstheme="minorEastAsia"/>
          <w:color w:val="000000"/>
          <w:sz w:val="24"/>
          <w:szCs w:val="24"/>
        </w:rPr>
        <w:t>，签字代表</w:t>
      </w:r>
      <w:r>
        <w:rPr>
          <w:rFonts w:hint="eastAsia" w:asciiTheme="minorEastAsia" w:hAnsiTheme="minorEastAsia" w:eastAsiaTheme="minorEastAsia" w:cstheme="minorEastAsia"/>
          <w:color w:val="000000"/>
          <w:sz w:val="24"/>
          <w:szCs w:val="24"/>
          <w:u w:val="single"/>
        </w:rPr>
        <w:t>(全名、职务)</w:t>
      </w:r>
      <w:r>
        <w:rPr>
          <w:rFonts w:hint="eastAsia" w:asciiTheme="minorEastAsia" w:hAnsiTheme="minorEastAsia" w:eastAsiaTheme="minorEastAsia" w:cstheme="minorEastAsia"/>
          <w:color w:val="000000"/>
          <w:sz w:val="24"/>
          <w:szCs w:val="24"/>
        </w:rPr>
        <w:t>经正式授权并代表投标人</w:t>
      </w:r>
      <w:r>
        <w:rPr>
          <w:rFonts w:hint="eastAsia" w:asciiTheme="minorEastAsia" w:hAnsiTheme="minorEastAsia" w:eastAsiaTheme="minorEastAsia" w:cstheme="minorEastAsia"/>
          <w:color w:val="000000"/>
          <w:sz w:val="24"/>
          <w:szCs w:val="24"/>
          <w:u w:val="single"/>
        </w:rPr>
        <w:t>(投标人名称、地址)</w:t>
      </w:r>
      <w:r>
        <w:rPr>
          <w:rFonts w:hint="eastAsia" w:asciiTheme="minorEastAsia" w:hAnsiTheme="minorEastAsia" w:eastAsiaTheme="minorEastAsia" w:cstheme="minorEastAsia"/>
          <w:color w:val="000000"/>
          <w:sz w:val="24"/>
          <w:szCs w:val="24"/>
        </w:rPr>
        <w:t xml:space="preserve"> 提交下述文件正本</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份及副本</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份，内容包括：</w:t>
      </w:r>
    </w:p>
    <w:p>
      <w:pPr>
        <w:pStyle w:val="8"/>
        <w:spacing w:line="40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1.磋商书</w:t>
      </w:r>
    </w:p>
    <w:p>
      <w:pPr>
        <w:pStyle w:val="8"/>
        <w:spacing w:line="40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2.开标一览表</w:t>
      </w:r>
    </w:p>
    <w:p>
      <w:pPr>
        <w:pStyle w:val="8"/>
        <w:spacing w:line="40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3.报价表</w:t>
      </w:r>
    </w:p>
    <w:p>
      <w:pPr>
        <w:pStyle w:val="8"/>
        <w:spacing w:line="40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4.资格证明文件</w:t>
      </w:r>
    </w:p>
    <w:p>
      <w:pPr>
        <w:pStyle w:val="8"/>
        <w:spacing w:line="40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5.按招标文件投标人须知和要求提供的有关文件</w:t>
      </w:r>
    </w:p>
    <w:p>
      <w:pPr>
        <w:pStyle w:val="8"/>
        <w:spacing w:line="40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同时提交投标保证金：</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元人民币。</w:t>
      </w:r>
    </w:p>
    <w:p>
      <w:p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据此函，签字代表宣布同意如下：</w:t>
      </w:r>
    </w:p>
    <w:p>
      <w:pPr>
        <w:numPr>
          <w:ilvl w:val="0"/>
          <w:numId w:val="12"/>
        </w:num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投标人将按招标文件的规定提供货物及服务。</w:t>
      </w:r>
    </w:p>
    <w:p>
      <w:pPr>
        <w:numPr>
          <w:ilvl w:val="0"/>
          <w:numId w:val="12"/>
        </w:num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投标人将按招标文件的规定履行协议责任和义务。</w:t>
      </w:r>
    </w:p>
    <w:p>
      <w:pPr>
        <w:numPr>
          <w:ilvl w:val="0"/>
          <w:numId w:val="12"/>
        </w:num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投标人已详细阅读全部招标文件，包括附件、修改文件（如需要修改）、变更通知以及全部参考资料和有关附件。我们完全理解并同意放弃对这方面有不明及误解的权利。</w:t>
      </w:r>
    </w:p>
    <w:p>
      <w:pPr>
        <w:numPr>
          <w:ilvl w:val="0"/>
          <w:numId w:val="12"/>
        </w:num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其投标有效期为投标截止日后</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个日历日。</w:t>
      </w:r>
    </w:p>
    <w:p>
      <w:pPr>
        <w:numPr>
          <w:ilvl w:val="0"/>
          <w:numId w:val="12"/>
        </w:num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如果在规定的开标时间后，投标人在投标有效期内撤回投标，其投标保证金将被贵方没收。</w:t>
      </w:r>
    </w:p>
    <w:p>
      <w:pPr>
        <w:numPr>
          <w:ilvl w:val="0"/>
          <w:numId w:val="12"/>
        </w:num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投标人同意提供按照贵方可能要求的与其投标有关的一切数据或资料。我方承担编制投标文件与递交投标文件所涉及的一切费用，不管投标结果如何，招标人与贵方对上述费用不承担任何责任。</w:t>
      </w:r>
    </w:p>
    <w:p>
      <w:pPr>
        <w:numPr>
          <w:ilvl w:val="0"/>
          <w:numId w:val="12"/>
        </w:num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与本投标有关的一切正式往来通讯请寄：</w:t>
      </w:r>
    </w:p>
    <w:p>
      <w:pPr>
        <w:spacing w:line="400" w:lineRule="exact"/>
        <w:ind w:left="138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地址：</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 xml:space="preserve"> 邮编：</w:t>
      </w:r>
      <w:r>
        <w:rPr>
          <w:rFonts w:hint="eastAsia" w:asciiTheme="minorEastAsia" w:hAnsiTheme="minorEastAsia" w:eastAsiaTheme="minorEastAsia" w:cstheme="minorEastAsia"/>
          <w:color w:val="000000"/>
          <w:sz w:val="24"/>
          <w:szCs w:val="24"/>
          <w:u w:val="single"/>
        </w:rPr>
        <w:t xml:space="preserve">             </w:t>
      </w:r>
    </w:p>
    <w:p>
      <w:pPr>
        <w:spacing w:line="400" w:lineRule="exact"/>
        <w:ind w:left="138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电话：</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 xml:space="preserve"> 传真：</w:t>
      </w:r>
      <w:r>
        <w:rPr>
          <w:rFonts w:hint="eastAsia" w:asciiTheme="minorEastAsia" w:hAnsiTheme="minorEastAsia" w:eastAsiaTheme="minorEastAsia" w:cstheme="minorEastAsia"/>
          <w:color w:val="000000"/>
          <w:sz w:val="24"/>
          <w:szCs w:val="24"/>
          <w:u w:val="single"/>
        </w:rPr>
        <w:t xml:space="preserve">             </w:t>
      </w:r>
    </w:p>
    <w:p>
      <w:pPr>
        <w:spacing w:line="400" w:lineRule="exact"/>
        <w:ind w:left="1380"/>
        <w:rPr>
          <w:rFonts w:hint="eastAsia" w:asciiTheme="minorEastAsia" w:hAnsiTheme="minorEastAsia" w:eastAsiaTheme="minorEastAsia" w:cstheme="minorEastAsia"/>
          <w:color w:val="000000"/>
          <w:sz w:val="24"/>
          <w:szCs w:val="24"/>
        </w:rPr>
      </w:pPr>
    </w:p>
    <w:p>
      <w:pPr>
        <w:spacing w:line="400" w:lineRule="exact"/>
        <w:ind w:left="1380"/>
        <w:rPr>
          <w:rFonts w:hint="eastAsia" w:asciiTheme="minorEastAsia" w:hAnsiTheme="minorEastAsia" w:eastAsiaTheme="minorEastAsia" w:cstheme="minorEastAsia"/>
          <w:color w:val="000000"/>
          <w:sz w:val="24"/>
          <w:szCs w:val="24"/>
        </w:rPr>
      </w:pPr>
    </w:p>
    <w:p>
      <w:pPr>
        <w:spacing w:line="400" w:lineRule="exact"/>
        <w:ind w:left="138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投标人代表姓名、职务[印刷体]：</w:t>
      </w:r>
      <w:r>
        <w:rPr>
          <w:rFonts w:hint="eastAsia" w:asciiTheme="minorEastAsia" w:hAnsiTheme="minorEastAsia" w:eastAsiaTheme="minorEastAsia" w:cstheme="minorEastAsia"/>
          <w:color w:val="000000"/>
          <w:sz w:val="24"/>
          <w:szCs w:val="24"/>
          <w:u w:val="single"/>
        </w:rPr>
        <w:t xml:space="preserve">                               </w:t>
      </w:r>
    </w:p>
    <w:p>
      <w:pPr>
        <w:spacing w:line="400" w:lineRule="exact"/>
        <w:ind w:left="3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投标人名称[公章]：</w:t>
      </w:r>
      <w:r>
        <w:rPr>
          <w:rFonts w:hint="eastAsia" w:asciiTheme="minorEastAsia" w:hAnsiTheme="minorEastAsia" w:eastAsiaTheme="minorEastAsia" w:cstheme="minorEastAsia"/>
          <w:color w:val="000000"/>
          <w:sz w:val="24"/>
          <w:szCs w:val="24"/>
          <w:u w:val="single"/>
        </w:rPr>
        <w:t xml:space="preserve">                               </w:t>
      </w:r>
    </w:p>
    <w:p>
      <w:pPr>
        <w:spacing w:line="400" w:lineRule="exact"/>
        <w:ind w:left="3300"/>
        <w:jc w:val="left"/>
        <w:rPr>
          <w:rFonts w:hint="eastAsia" w:asciiTheme="minorEastAsia" w:hAnsiTheme="minorEastAsia" w:eastAsiaTheme="minorEastAsia" w:cstheme="minorEastAsia"/>
          <w:color w:val="000000"/>
          <w:sz w:val="24"/>
          <w:szCs w:val="24"/>
          <w:u w:val="single"/>
        </w:rPr>
      </w:pPr>
      <w:r>
        <w:rPr>
          <w:rFonts w:hint="eastAsia" w:asciiTheme="minorEastAsia" w:hAnsiTheme="minorEastAsia" w:eastAsiaTheme="minorEastAsia" w:cstheme="minorEastAsia"/>
          <w:color w:val="000000"/>
          <w:sz w:val="24"/>
          <w:szCs w:val="24"/>
        </w:rPr>
        <w:t xml:space="preserve">     投标人代表签字：</w:t>
      </w:r>
      <w:r>
        <w:rPr>
          <w:rFonts w:hint="eastAsia" w:asciiTheme="minorEastAsia" w:hAnsiTheme="minorEastAsia" w:eastAsiaTheme="minorEastAsia" w:cstheme="minorEastAsia"/>
          <w:color w:val="000000"/>
          <w:sz w:val="24"/>
          <w:szCs w:val="24"/>
          <w:u w:val="single"/>
        </w:rPr>
        <w:t xml:space="preserve">                                </w:t>
      </w:r>
    </w:p>
    <w:p>
      <w:pPr>
        <w:spacing w:line="400" w:lineRule="exact"/>
        <w:ind w:left="3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日期：</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年</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日</w:t>
      </w:r>
    </w:p>
    <w:p>
      <w:pPr>
        <w:spacing w:line="460" w:lineRule="exact"/>
        <w:rPr>
          <w:rFonts w:hint="eastAsia" w:asciiTheme="minorEastAsia" w:hAnsiTheme="minorEastAsia" w:eastAsiaTheme="minorEastAsia" w:cstheme="minorEastAsia"/>
          <w:color w:val="000000"/>
          <w:sz w:val="24"/>
          <w:szCs w:val="24"/>
        </w:rPr>
      </w:pPr>
    </w:p>
    <w:p>
      <w:pPr>
        <w:pStyle w:val="6"/>
        <w:rPr>
          <w:rFonts w:ascii="宋体" w:hAnsi="宋体" w:eastAsia="宋体" w:cs="宋体"/>
          <w:color w:val="000000"/>
          <w:szCs w:val="32"/>
        </w:rPr>
        <w:sectPr>
          <w:footerReference r:id="rId3" w:type="default"/>
          <w:pgSz w:w="11907" w:h="16840"/>
          <w:pgMar w:top="1021" w:right="1134" w:bottom="1021" w:left="1221" w:header="907" w:footer="907" w:gutter="0"/>
          <w:pgNumType w:start="1"/>
          <w:cols w:space="720" w:num="1"/>
          <w:docGrid w:linePitch="312" w:charSpace="0"/>
        </w:sectPr>
      </w:pPr>
      <w:bookmarkStart w:id="48" w:name="_Toc11016"/>
      <w:bookmarkStart w:id="49" w:name="_Toc473047346"/>
    </w:p>
    <w:p>
      <w:pPr>
        <w:pStyle w:val="3"/>
        <w:spacing w:line="360" w:lineRule="auto"/>
        <w:jc w:val="center"/>
        <w:rPr>
          <w:rFonts w:ascii="宋体" w:hAnsi="宋体" w:cs="宋体"/>
          <w:color w:val="000000"/>
        </w:rPr>
      </w:pPr>
      <w:r>
        <w:rPr>
          <w:rFonts w:hint="eastAsia" w:ascii="宋体" w:hAnsi="宋体" w:cs="宋体"/>
          <w:color w:val="000000"/>
        </w:rPr>
        <w:t>四、</w:t>
      </w:r>
      <w:r>
        <w:rPr>
          <w:rFonts w:hint="eastAsia" w:ascii="宋体" w:hAnsi="宋体" w:cs="宋体"/>
        </w:rPr>
        <w:t>开标一览表</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项目编号：  </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项目名称：                                                  货币单位：人民币                                               </w:t>
      </w:r>
    </w:p>
    <w:tbl>
      <w:tblPr>
        <w:tblStyle w:val="1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554"/>
        <w:gridCol w:w="2175"/>
        <w:gridCol w:w="4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729" w:type="dxa"/>
            <w:gridSpan w:val="2"/>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项目内容</w:t>
            </w:r>
          </w:p>
        </w:tc>
        <w:tc>
          <w:tcPr>
            <w:tcW w:w="445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投标总报价</w:t>
            </w:r>
          </w:p>
        </w:tc>
        <w:tc>
          <w:tcPr>
            <w:tcW w:w="445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投标工期</w:t>
            </w:r>
          </w:p>
        </w:tc>
        <w:tc>
          <w:tcPr>
            <w:tcW w:w="445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日历</w:t>
            </w:r>
            <w:r>
              <w:rPr>
                <w:rFonts w:hint="eastAsia" w:asciiTheme="minorEastAsia" w:hAnsiTheme="minorEastAsia" w:eastAsiaTheme="minorEastAsia" w:cstheme="minorEastAsia"/>
                <w:sz w:val="24"/>
                <w:szCs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554" w:type="dxa"/>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2175"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姓名、级别</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Merge w:val="continue"/>
            <w:vAlign w:val="center"/>
          </w:tcPr>
          <w:p>
            <w:pPr>
              <w:jc w:val="center"/>
              <w:rPr>
                <w:rFonts w:hint="eastAsia" w:asciiTheme="minorEastAsia" w:hAnsiTheme="minorEastAsia" w:eastAsiaTheme="minorEastAsia" w:cstheme="minorEastAsia"/>
                <w:sz w:val="24"/>
                <w:szCs w:val="24"/>
              </w:rPr>
            </w:pPr>
          </w:p>
        </w:tc>
        <w:tc>
          <w:tcPr>
            <w:tcW w:w="1554" w:type="dxa"/>
            <w:vMerge w:val="continue"/>
            <w:vAlign w:val="center"/>
          </w:tcPr>
          <w:p>
            <w:pPr>
              <w:rPr>
                <w:rFonts w:hint="eastAsia" w:asciiTheme="minorEastAsia" w:hAnsiTheme="minorEastAsia" w:eastAsiaTheme="minorEastAsia" w:cstheme="minorEastAsia"/>
                <w:sz w:val="24"/>
                <w:szCs w:val="24"/>
              </w:rPr>
            </w:pPr>
          </w:p>
        </w:tc>
        <w:tc>
          <w:tcPr>
            <w:tcW w:w="2175"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误期违约赔偿金额</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误期违约金赔偿限额</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工程质量等级目标</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对质量目标的承诺</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文明施工管理目标</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对文明施工目标的承诺</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安全生产管理目标</w:t>
            </w:r>
          </w:p>
        </w:tc>
        <w:tc>
          <w:tcPr>
            <w:tcW w:w="4457"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3729"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对安全生产目标的承诺</w:t>
            </w:r>
          </w:p>
        </w:tc>
        <w:tc>
          <w:tcPr>
            <w:tcW w:w="4457" w:type="dxa"/>
            <w:vAlign w:val="center"/>
          </w:tcPr>
          <w:p>
            <w:pPr>
              <w:jc w:val="center"/>
              <w:rPr>
                <w:rFonts w:hint="eastAsia" w:asciiTheme="minorEastAsia" w:hAnsiTheme="minorEastAsia" w:eastAsiaTheme="minorEastAsia" w:cstheme="minorEastAsia"/>
                <w:sz w:val="24"/>
                <w:szCs w:val="24"/>
              </w:rPr>
            </w:pPr>
          </w:p>
        </w:tc>
      </w:tr>
    </w:tbl>
    <w:p>
      <w:pPr>
        <w:spacing w:line="360" w:lineRule="auto"/>
        <w:rPr>
          <w:rFonts w:ascii="宋体" w:hAnsi="宋体" w:eastAsia="宋体" w:cs="宋体"/>
          <w:color w:val="000000"/>
          <w:sz w:val="24"/>
        </w:rPr>
      </w:pPr>
    </w:p>
    <w:p>
      <w:pPr>
        <w:spacing w:line="360" w:lineRule="auto"/>
        <w:rPr>
          <w:rFonts w:ascii="宋体" w:hAnsi="宋体" w:eastAsia="宋体" w:cs="宋体"/>
          <w:color w:val="000000"/>
          <w:sz w:val="24"/>
        </w:rPr>
      </w:pPr>
      <w:r>
        <w:rPr>
          <w:rFonts w:hint="eastAsia" w:ascii="宋体" w:hAnsi="宋体" w:eastAsia="宋体" w:cs="宋体"/>
          <w:color w:val="000000"/>
          <w:sz w:val="24"/>
        </w:rPr>
        <w:t>投标人(盖章):</w:t>
      </w:r>
    </w:p>
    <w:p>
      <w:pPr>
        <w:spacing w:line="360" w:lineRule="auto"/>
        <w:rPr>
          <w:rFonts w:hint="eastAsia" w:ascii="宋体" w:hAnsi="宋体" w:eastAsia="宋体" w:cs="宋体"/>
          <w:color w:val="000000"/>
          <w:sz w:val="24"/>
        </w:rPr>
      </w:pPr>
      <w:r>
        <w:rPr>
          <w:rFonts w:hint="eastAsia" w:ascii="宋体" w:hAnsi="宋体" w:eastAsia="宋体" w:cs="宋体"/>
          <w:color w:val="000000"/>
          <w:sz w:val="24"/>
        </w:rPr>
        <w:t xml:space="preserve">法定代表人或其委托代理人(签字)：                     </w:t>
      </w:r>
    </w:p>
    <w:p>
      <w:pPr>
        <w:spacing w:line="360" w:lineRule="auto"/>
        <w:rPr>
          <w:rFonts w:ascii="宋体" w:hAnsi="宋体" w:eastAsia="宋体" w:cs="宋体"/>
          <w:color w:val="000000"/>
          <w:sz w:val="24"/>
        </w:rPr>
      </w:pPr>
      <w:r>
        <w:rPr>
          <w:rFonts w:hint="eastAsia" w:ascii="宋体" w:hAnsi="宋体" w:eastAsia="宋体" w:cs="宋体"/>
          <w:color w:val="000000"/>
          <w:sz w:val="24"/>
        </w:rPr>
        <w:t>日期：</w:t>
      </w:r>
    </w:p>
    <w:p>
      <w:pPr>
        <w:spacing w:line="240" w:lineRule="auto"/>
        <w:rPr>
          <w:rFonts w:ascii="宋体" w:hAnsi="宋体" w:eastAsia="宋体" w:cs="宋体"/>
          <w:color w:val="000000"/>
          <w:sz w:val="24"/>
        </w:rPr>
      </w:pPr>
      <w:r>
        <w:rPr>
          <w:rFonts w:hint="eastAsia" w:ascii="宋体" w:hAnsi="宋体" w:eastAsia="宋体" w:cs="宋体"/>
          <w:color w:val="000000"/>
          <w:sz w:val="24"/>
        </w:rPr>
        <w:t>注：</w:t>
      </w:r>
    </w:p>
    <w:p>
      <w:pPr>
        <w:spacing w:line="240" w:lineRule="auto"/>
        <w:rPr>
          <w:rFonts w:ascii="宋体" w:hAnsi="宋体" w:eastAsia="宋体" w:cs="宋体"/>
          <w:color w:val="000000"/>
          <w:sz w:val="24"/>
        </w:rPr>
      </w:pPr>
      <w:r>
        <w:rPr>
          <w:rFonts w:hint="eastAsia" w:ascii="宋体" w:hAnsi="宋体" w:eastAsia="宋体" w:cs="宋体"/>
          <w:color w:val="000000"/>
          <w:sz w:val="24"/>
        </w:rPr>
        <w:t>本表用于唱标。所有填写内容必须与其他文件相一致，如有出入，将直接影响评标委员会对投标人的评议，所有后果由投标人自负。</w:t>
      </w:r>
    </w:p>
    <w:p>
      <w:pPr>
        <w:keepNext/>
        <w:spacing w:line="240" w:lineRule="auto"/>
        <w:ind w:firstLine="240" w:firstLineChars="100"/>
        <w:jc w:val="left"/>
        <w:rPr>
          <w:rFonts w:ascii="宋体" w:hAnsi="宋体" w:eastAsia="宋体" w:cs="宋体"/>
          <w:color w:val="000000"/>
          <w:szCs w:val="32"/>
        </w:rPr>
        <w:sectPr>
          <w:footerReference r:id="rId4" w:type="default"/>
          <w:pgSz w:w="11907" w:h="16840"/>
          <w:pgMar w:top="1021" w:right="1134" w:bottom="1021" w:left="1461" w:header="907" w:footer="907" w:gutter="0"/>
          <w:cols w:space="720" w:num="1"/>
          <w:docGrid w:linePitch="312" w:charSpace="0"/>
        </w:sectPr>
      </w:pPr>
      <w:r>
        <w:rPr>
          <w:rFonts w:hint="eastAsia" w:ascii="宋体" w:hAnsi="宋体" w:eastAsia="宋体" w:cs="宋体"/>
          <w:color w:val="000000"/>
          <w:sz w:val="24"/>
        </w:rPr>
        <w:t>本表除保留在投标文件中外，另附一份按“投标人须知”的规定单独密封提交，作为开标用。</w:t>
      </w:r>
    </w:p>
    <w:p>
      <w:pPr>
        <w:pStyle w:val="3"/>
        <w:keepLines w:val="0"/>
        <w:spacing w:line="500" w:lineRule="exact"/>
        <w:jc w:val="center"/>
        <w:rPr>
          <w:rFonts w:ascii="宋体" w:hAnsi="宋体" w:cs="宋体"/>
          <w:color w:val="000000"/>
        </w:rPr>
      </w:pPr>
      <w:r>
        <w:rPr>
          <w:rFonts w:hint="eastAsia" w:ascii="宋体" w:hAnsi="宋体" w:cs="宋体"/>
          <w:color w:val="000000"/>
          <w:lang w:val="en-US" w:eastAsia="zh-CN"/>
        </w:rPr>
        <w:t>五</w:t>
      </w:r>
      <w:r>
        <w:rPr>
          <w:rFonts w:hint="eastAsia" w:ascii="宋体" w:hAnsi="宋体" w:cs="宋体"/>
          <w:color w:val="000000"/>
        </w:rPr>
        <w:t>、资格证明文件</w:t>
      </w:r>
      <w:bookmarkEnd w:id="48"/>
      <w:bookmarkEnd w:id="49"/>
    </w:p>
    <w:p>
      <w:pPr>
        <w:spacing w:line="460" w:lineRule="exact"/>
        <w:rPr>
          <w:rFonts w:ascii="宋体" w:hAnsi="宋体" w:eastAsia="宋体" w:cs="宋体"/>
          <w:color w:val="000000"/>
          <w:sz w:val="28"/>
          <w:szCs w:val="28"/>
        </w:rPr>
      </w:pPr>
    </w:p>
    <w:p>
      <w:pPr>
        <w:numPr>
          <w:ilvl w:val="0"/>
          <w:numId w:val="13"/>
        </w:numPr>
        <w:spacing w:line="520" w:lineRule="atLeast"/>
        <w:ind w:firstLine="420"/>
        <w:rPr>
          <w:rFonts w:ascii="宋体" w:hAnsi="宋体" w:eastAsia="宋体" w:cs="宋体"/>
          <w:color w:val="000000"/>
          <w:sz w:val="24"/>
          <w:szCs w:val="24"/>
        </w:rPr>
      </w:pPr>
      <w:r>
        <w:rPr>
          <w:rFonts w:hint="eastAsia" w:ascii="宋体" w:hAnsi="宋体" w:eastAsia="宋体" w:cs="宋体"/>
          <w:color w:val="000000"/>
          <w:sz w:val="24"/>
          <w:szCs w:val="24"/>
        </w:rPr>
        <w:t>投标人资格要求需要投标人提供的资料。</w:t>
      </w:r>
    </w:p>
    <w:p>
      <w:pPr>
        <w:numPr>
          <w:ilvl w:val="0"/>
          <w:numId w:val="13"/>
        </w:numPr>
        <w:spacing w:line="520" w:lineRule="atLeast"/>
        <w:ind w:firstLine="420"/>
        <w:rPr>
          <w:rFonts w:ascii="宋体" w:hAnsi="宋体" w:eastAsia="宋体" w:cs="宋体"/>
          <w:color w:val="000000"/>
          <w:sz w:val="24"/>
          <w:szCs w:val="24"/>
        </w:rPr>
      </w:pPr>
      <w:r>
        <w:rPr>
          <w:rFonts w:hint="eastAsia" w:ascii="宋体" w:hAnsi="宋体" w:eastAsia="宋体" w:cs="宋体"/>
          <w:color w:val="000000"/>
          <w:sz w:val="24"/>
          <w:szCs w:val="24"/>
        </w:rPr>
        <w:t>投标人自己认为需要提供的资料。</w:t>
      </w:r>
    </w:p>
    <w:p>
      <w:pPr>
        <w:spacing w:line="460" w:lineRule="exact"/>
        <w:rPr>
          <w:rFonts w:ascii="宋体" w:hAnsi="宋体" w:eastAsia="宋体" w:cs="宋体"/>
          <w:color w:val="000000"/>
          <w:sz w:val="21"/>
          <w:szCs w:val="21"/>
        </w:rPr>
      </w:pPr>
    </w:p>
    <w:p>
      <w:pPr>
        <w:spacing w:line="460" w:lineRule="exact"/>
        <w:rPr>
          <w:rFonts w:ascii="宋体" w:hAnsi="宋体" w:eastAsia="宋体" w:cs="宋体"/>
          <w:color w:val="000000"/>
          <w:sz w:val="21"/>
          <w:szCs w:val="21"/>
        </w:rPr>
      </w:pPr>
    </w:p>
    <w:p>
      <w:pPr>
        <w:spacing w:line="460" w:lineRule="exact"/>
        <w:rPr>
          <w:rFonts w:ascii="宋体" w:hAnsi="宋体" w:eastAsia="宋体" w:cs="宋体"/>
          <w:color w:val="000000"/>
          <w:sz w:val="21"/>
          <w:szCs w:val="21"/>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8"/>
          <w:szCs w:val="28"/>
        </w:rPr>
      </w:pPr>
    </w:p>
    <w:p>
      <w:pPr>
        <w:spacing w:line="460" w:lineRule="exact"/>
        <w:rPr>
          <w:rFonts w:ascii="宋体" w:hAnsi="宋体" w:eastAsia="宋体" w:cs="宋体"/>
          <w:color w:val="000000"/>
          <w:sz w:val="24"/>
        </w:rPr>
      </w:pPr>
    </w:p>
    <w:p>
      <w:pPr>
        <w:pStyle w:val="4"/>
        <w:tabs>
          <w:tab w:val="left" w:pos="1134"/>
        </w:tabs>
        <w:spacing w:before="0" w:after="0" w:line="460" w:lineRule="exact"/>
        <w:rPr>
          <w:rFonts w:ascii="宋体" w:hAnsi="宋体" w:cs="宋体"/>
          <w:color w:val="000000"/>
          <w:sz w:val="24"/>
          <w:szCs w:val="24"/>
        </w:rPr>
        <w:sectPr>
          <w:pgSz w:w="11907" w:h="16840"/>
          <w:pgMar w:top="1021" w:right="1134" w:bottom="1021" w:left="1461" w:header="907" w:footer="907" w:gutter="0"/>
          <w:cols w:space="720" w:num="1"/>
          <w:docGrid w:linePitch="312" w:charSpace="0"/>
        </w:sectPr>
      </w:pPr>
    </w:p>
    <w:p>
      <w:pPr>
        <w:pStyle w:val="6"/>
        <w:rPr>
          <w:rFonts w:ascii="宋体" w:hAnsi="宋体" w:eastAsia="宋体" w:cs="宋体"/>
          <w:color w:val="000000"/>
          <w:sz w:val="28"/>
          <w:szCs w:val="28"/>
        </w:rPr>
      </w:pPr>
      <w:r>
        <w:rPr>
          <w:rFonts w:hint="eastAsia" w:ascii="宋体" w:hAnsi="宋体" w:eastAsia="宋体" w:cs="宋体"/>
          <w:color w:val="000000"/>
          <w:sz w:val="28"/>
          <w:szCs w:val="28"/>
          <w:lang w:val="en-US" w:eastAsia="zh-CN"/>
        </w:rPr>
        <w:t>六</w:t>
      </w:r>
      <w:r>
        <w:rPr>
          <w:rFonts w:hint="eastAsia" w:ascii="宋体" w:hAnsi="宋体" w:eastAsia="宋体" w:cs="宋体"/>
          <w:color w:val="000000"/>
          <w:sz w:val="28"/>
          <w:szCs w:val="28"/>
        </w:rPr>
        <w:t>、技术文件</w:t>
      </w:r>
    </w:p>
    <w:p>
      <w:pPr>
        <w:autoSpaceDE w:val="0"/>
        <w:autoSpaceDN w:val="0"/>
        <w:spacing w:line="460" w:lineRule="exact"/>
        <w:jc w:val="left"/>
        <w:rPr>
          <w:rFonts w:ascii="宋体" w:hAnsi="宋体" w:eastAsia="宋体" w:cs="宋体"/>
          <w:b/>
          <w:color w:val="000000"/>
          <w:sz w:val="28"/>
          <w:szCs w:val="28"/>
        </w:rPr>
      </w:pPr>
    </w:p>
    <w:p>
      <w:pPr>
        <w:autoSpaceDE w:val="0"/>
        <w:autoSpaceDN w:val="0"/>
        <w:spacing w:line="460" w:lineRule="exact"/>
        <w:jc w:val="center"/>
        <w:rPr>
          <w:rFonts w:ascii="宋体" w:hAnsi="宋体" w:eastAsia="宋体" w:cs="宋体"/>
          <w:b/>
          <w:color w:val="000000"/>
          <w:sz w:val="28"/>
          <w:szCs w:val="28"/>
        </w:rPr>
      </w:pPr>
    </w:p>
    <w:p>
      <w:pPr>
        <w:autoSpaceDE w:val="0"/>
        <w:autoSpaceDN w:val="0"/>
        <w:spacing w:line="460" w:lineRule="exact"/>
        <w:jc w:val="center"/>
        <w:rPr>
          <w:rFonts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hint="eastAsia" w:ascii="宋体" w:hAnsi="宋体" w:eastAsia="宋体" w:cs="宋体"/>
          <w:b/>
          <w:color w:val="000000"/>
          <w:sz w:val="28"/>
          <w:szCs w:val="28"/>
        </w:rPr>
      </w:pPr>
    </w:p>
    <w:p>
      <w:pPr>
        <w:autoSpaceDE w:val="0"/>
        <w:autoSpaceDN w:val="0"/>
        <w:spacing w:line="460" w:lineRule="exact"/>
        <w:jc w:val="center"/>
        <w:rPr>
          <w:rFonts w:ascii="宋体" w:hAnsi="宋体" w:eastAsia="宋体" w:cs="宋体"/>
          <w:b/>
          <w:color w:val="000000"/>
          <w:sz w:val="28"/>
          <w:szCs w:val="28"/>
        </w:rPr>
      </w:pPr>
      <w:r>
        <w:rPr>
          <w:rFonts w:hint="eastAsia" w:ascii="宋体" w:hAnsi="宋体" w:eastAsia="宋体" w:cs="宋体"/>
          <w:b/>
          <w:color w:val="000000"/>
          <w:sz w:val="28"/>
          <w:szCs w:val="28"/>
        </w:rPr>
        <w:t>第二次报价表</w:t>
      </w:r>
    </w:p>
    <w:p>
      <w:pPr>
        <w:autoSpaceDE w:val="0"/>
        <w:autoSpaceDN w:val="0"/>
        <w:spacing w:line="460" w:lineRule="exact"/>
        <w:jc w:val="center"/>
        <w:rPr>
          <w:rFonts w:ascii="宋体" w:hAnsi="宋体" w:eastAsia="宋体" w:cs="宋体"/>
          <w:b/>
          <w:color w:val="000000"/>
          <w:sz w:val="28"/>
          <w:szCs w:val="28"/>
        </w:rPr>
      </w:pP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项目编号：  </w:t>
      </w:r>
    </w:p>
    <w:p>
      <w:pPr>
        <w:spacing w:line="360" w:lineRule="auto"/>
        <w:rPr>
          <w:rFonts w:ascii="宋体" w:hAnsi="宋体" w:eastAsia="宋体" w:cs="宋体"/>
          <w:color w:val="000000"/>
          <w:sz w:val="24"/>
        </w:rPr>
      </w:pPr>
      <w:r>
        <w:rPr>
          <w:rFonts w:hint="eastAsia" w:ascii="宋体" w:hAnsi="宋体" w:eastAsia="宋体" w:cs="宋体"/>
          <w:color w:val="000000"/>
          <w:sz w:val="24"/>
        </w:rPr>
        <w:t xml:space="preserve">项目名称：                                                 货币单位：人民币                                               </w:t>
      </w:r>
    </w:p>
    <w:tbl>
      <w:tblPr>
        <w:tblStyle w:val="15"/>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1518"/>
        <w:gridCol w:w="2122"/>
        <w:gridCol w:w="4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640" w:type="dxa"/>
            <w:gridSpan w:val="2"/>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项目内容</w:t>
            </w:r>
          </w:p>
        </w:tc>
        <w:tc>
          <w:tcPr>
            <w:tcW w:w="4353"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投标总报价</w:t>
            </w:r>
          </w:p>
        </w:tc>
        <w:tc>
          <w:tcPr>
            <w:tcW w:w="4353"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投标工期</w:t>
            </w:r>
          </w:p>
        </w:tc>
        <w:tc>
          <w:tcPr>
            <w:tcW w:w="4353"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日历</w:t>
            </w:r>
            <w:r>
              <w:rPr>
                <w:rFonts w:hint="eastAsia" w:asciiTheme="minorEastAsia" w:hAnsiTheme="minorEastAsia" w:eastAsiaTheme="minorEastAsia" w:cstheme="minorEastAsia"/>
                <w:sz w:val="24"/>
                <w:szCs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518" w:type="dxa"/>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2122"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姓名、级别</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Merge w:val="continue"/>
            <w:vAlign w:val="center"/>
          </w:tcPr>
          <w:p>
            <w:pPr>
              <w:jc w:val="center"/>
              <w:rPr>
                <w:rFonts w:hint="eastAsia" w:asciiTheme="minorEastAsia" w:hAnsiTheme="minorEastAsia" w:eastAsiaTheme="minorEastAsia" w:cstheme="minorEastAsia"/>
                <w:sz w:val="24"/>
                <w:szCs w:val="24"/>
              </w:rPr>
            </w:pPr>
          </w:p>
        </w:tc>
        <w:tc>
          <w:tcPr>
            <w:tcW w:w="1518" w:type="dxa"/>
            <w:vMerge w:val="continue"/>
            <w:vAlign w:val="center"/>
          </w:tcPr>
          <w:p>
            <w:pPr>
              <w:rPr>
                <w:rFonts w:hint="eastAsia" w:asciiTheme="minorEastAsia" w:hAnsiTheme="minorEastAsia" w:eastAsiaTheme="minorEastAsia" w:cstheme="minorEastAsia"/>
                <w:sz w:val="24"/>
                <w:szCs w:val="24"/>
              </w:rPr>
            </w:pPr>
          </w:p>
        </w:tc>
        <w:tc>
          <w:tcPr>
            <w:tcW w:w="2122"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误期违约赔偿金额</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误期违约金赔偿限额</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工程质量等级目标</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对质量目标的承诺</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文明施工管理目标</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对文明施工目标的承诺</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安全生产管理目标</w:t>
            </w:r>
          </w:p>
        </w:tc>
        <w:tc>
          <w:tcPr>
            <w:tcW w:w="4353"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147"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3640" w:type="dxa"/>
            <w:gridSpan w:val="2"/>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对安全生产目标的承诺</w:t>
            </w:r>
          </w:p>
        </w:tc>
        <w:tc>
          <w:tcPr>
            <w:tcW w:w="4353" w:type="dxa"/>
            <w:vAlign w:val="center"/>
          </w:tcPr>
          <w:p>
            <w:pPr>
              <w:jc w:val="center"/>
              <w:rPr>
                <w:rFonts w:hint="eastAsia" w:asciiTheme="minorEastAsia" w:hAnsiTheme="minorEastAsia" w:eastAsiaTheme="minorEastAsia" w:cstheme="minorEastAsia"/>
                <w:sz w:val="24"/>
                <w:szCs w:val="24"/>
              </w:rPr>
            </w:pPr>
          </w:p>
        </w:tc>
      </w:tr>
    </w:tbl>
    <w:p>
      <w:pPr>
        <w:spacing w:line="360" w:lineRule="auto"/>
        <w:rPr>
          <w:rFonts w:ascii="宋体" w:hAnsi="宋体" w:eastAsia="宋体" w:cs="宋体"/>
          <w:color w:val="000000"/>
          <w:sz w:val="21"/>
          <w:szCs w:val="21"/>
        </w:rPr>
      </w:pPr>
    </w:p>
    <w:p>
      <w:pPr>
        <w:spacing w:line="360" w:lineRule="auto"/>
        <w:rPr>
          <w:rFonts w:ascii="宋体" w:hAnsi="宋体" w:eastAsia="宋体" w:cs="宋体"/>
          <w:color w:val="000000"/>
          <w:sz w:val="24"/>
          <w:szCs w:val="24"/>
        </w:rPr>
      </w:pPr>
    </w:p>
    <w:p>
      <w:pPr>
        <w:spacing w:line="360" w:lineRule="auto"/>
        <w:rPr>
          <w:rFonts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法定代表人或其委托代理人(签字)：                     </w:t>
      </w:r>
    </w:p>
    <w:p>
      <w:pPr>
        <w:spacing w:line="360" w:lineRule="auto"/>
        <w:rPr>
          <w:rFonts w:ascii="宋体" w:hAnsi="宋体" w:eastAsia="宋体" w:cs="宋体"/>
          <w:b/>
          <w:color w:val="000000"/>
          <w:sz w:val="24"/>
          <w:szCs w:val="24"/>
        </w:rPr>
      </w:pPr>
      <w:r>
        <w:rPr>
          <w:rFonts w:hint="eastAsia" w:ascii="宋体" w:hAnsi="宋体" w:eastAsia="宋体" w:cs="宋体"/>
          <w:color w:val="000000"/>
          <w:sz w:val="24"/>
          <w:szCs w:val="24"/>
        </w:rPr>
        <w:t>日期：</w:t>
      </w:r>
    </w:p>
    <w:p>
      <w:pPr>
        <w:spacing w:before="120" w:beforeLines="50"/>
        <w:rPr>
          <w:rFonts w:ascii="宋体" w:hAnsi="宋体" w:eastAsia="宋体" w:cs="宋体"/>
          <w:b/>
          <w:bCs/>
          <w:sz w:val="24"/>
          <w:szCs w:val="24"/>
        </w:rPr>
      </w:pPr>
      <w:r>
        <w:rPr>
          <w:rFonts w:hint="eastAsia" w:ascii="宋体" w:hAnsi="宋体" w:eastAsia="宋体" w:cs="宋体"/>
          <w:b/>
          <w:bCs/>
          <w:sz w:val="24"/>
          <w:szCs w:val="24"/>
        </w:rPr>
        <w:t>注：此“第二次报价表”不装订在投标文件中，打印一份，仅供开标时第二次报价用。</w:t>
      </w:r>
    </w:p>
    <w:p>
      <w:pPr>
        <w:autoSpaceDE w:val="0"/>
        <w:autoSpaceDN w:val="0"/>
        <w:spacing w:line="460" w:lineRule="exact"/>
        <w:rPr>
          <w:rFonts w:ascii="宋体" w:hAnsi="宋体" w:eastAsia="宋体" w:cs="宋体"/>
          <w:b/>
          <w:color w:val="000000"/>
          <w:sz w:val="28"/>
          <w:szCs w:val="28"/>
        </w:rPr>
        <w:sectPr>
          <w:pgSz w:w="11907" w:h="16840"/>
          <w:pgMar w:top="1021" w:right="1701" w:bottom="1021" w:left="1134" w:header="907" w:footer="907" w:gutter="0"/>
          <w:cols w:space="720" w:num="1"/>
          <w:docGrid w:linePitch="312" w:charSpace="0"/>
        </w:sectPr>
      </w:pPr>
    </w:p>
    <w:bookmarkEnd w:id="47"/>
    <w:p>
      <w:pPr>
        <w:pStyle w:val="14"/>
        <w:outlineLvl w:val="0"/>
        <w:rPr>
          <w:rFonts w:ascii="宋体" w:hAnsi="宋体" w:eastAsia="宋体" w:cs="宋体"/>
          <w:color w:val="auto"/>
        </w:rPr>
      </w:pPr>
      <w:bookmarkStart w:id="50" w:name="_Toc5070"/>
      <w:bookmarkStart w:id="51" w:name="_Toc16619_WPSOffice_Level1"/>
      <w:bookmarkStart w:id="52" w:name="_Toc9469"/>
      <w:r>
        <w:rPr>
          <w:rFonts w:hint="eastAsia" w:ascii="宋体" w:hAnsi="宋体" w:eastAsia="宋体" w:cs="宋体"/>
          <w:color w:val="auto"/>
        </w:rPr>
        <w:t>第</w:t>
      </w:r>
      <w:r>
        <w:rPr>
          <w:rFonts w:hint="eastAsia" w:ascii="宋体" w:hAnsi="宋体" w:eastAsia="宋体" w:cs="宋体"/>
          <w:color w:val="auto"/>
          <w:lang w:val="en-US" w:eastAsia="zh-CN"/>
        </w:rPr>
        <w:t>五</w:t>
      </w:r>
      <w:r>
        <w:rPr>
          <w:rFonts w:hint="eastAsia" w:ascii="宋体" w:hAnsi="宋体" w:eastAsia="宋体" w:cs="宋体"/>
          <w:color w:val="auto"/>
        </w:rPr>
        <w:t>章  评分标准</w:t>
      </w:r>
      <w:bookmarkEnd w:id="50"/>
      <w:bookmarkEnd w:id="51"/>
      <w:bookmarkEnd w:id="52"/>
    </w:p>
    <w:p>
      <w:pPr>
        <w:pStyle w:val="4"/>
        <w:spacing w:before="100" w:after="100" w:line="240" w:lineRule="auto"/>
        <w:ind w:left="0" w:leftChars="0" w:firstLine="0" w:firstLineChars="0"/>
        <w:jc w:val="left"/>
        <w:rPr>
          <w:rFonts w:ascii="宋体" w:hAnsi="宋体" w:cs="宋体"/>
          <w:b w:val="0"/>
          <w:sz w:val="24"/>
          <w:szCs w:val="24"/>
        </w:rPr>
      </w:pPr>
      <w:bookmarkStart w:id="53" w:name="_Toc429664592"/>
      <w:bookmarkStart w:id="54" w:name="_Toc437325890"/>
      <w:bookmarkStart w:id="55" w:name="_Toc429723607"/>
      <w:bookmarkStart w:id="56" w:name="_Toc367433803"/>
      <w:bookmarkStart w:id="57" w:name="_Toc3601"/>
      <w:bookmarkStart w:id="58" w:name="_Toc434311844"/>
      <w:bookmarkStart w:id="59" w:name="_Toc329732024"/>
      <w:bookmarkStart w:id="60" w:name="OLE_LINK15"/>
      <w:bookmarkStart w:id="61" w:name="OLE_LINK16"/>
      <w:bookmarkStart w:id="62" w:name="_Toc167496943"/>
      <w:r>
        <w:rPr>
          <w:rFonts w:hint="eastAsia" w:ascii="宋体" w:hAnsi="宋体" w:cs="宋体"/>
          <w:b w:val="0"/>
          <w:sz w:val="24"/>
          <w:szCs w:val="24"/>
        </w:rPr>
        <w:t>一、评标原则</w:t>
      </w:r>
      <w:bookmarkEnd w:id="53"/>
      <w:bookmarkEnd w:id="54"/>
      <w:bookmarkEnd w:id="55"/>
      <w:bookmarkEnd w:id="56"/>
      <w:bookmarkEnd w:id="57"/>
      <w:bookmarkEnd w:id="58"/>
    </w:p>
    <w:p>
      <w:pPr>
        <w:spacing w:line="360" w:lineRule="auto"/>
        <w:ind w:firstLine="480" w:firstLineChars="200"/>
        <w:rPr>
          <w:rFonts w:ascii="宋体" w:hAnsi="宋体" w:eastAsia="宋体" w:cs="宋体"/>
          <w:sz w:val="24"/>
        </w:rPr>
      </w:pPr>
      <w:r>
        <w:rPr>
          <w:rFonts w:hint="eastAsia" w:ascii="宋体" w:hAnsi="宋体" w:eastAsia="宋体" w:cs="宋体"/>
          <w:sz w:val="24"/>
        </w:rPr>
        <w:t>1.1 评标活动遵循公开、公平、公正、择优的原则进行。</w:t>
      </w:r>
    </w:p>
    <w:p>
      <w:pPr>
        <w:spacing w:line="360" w:lineRule="auto"/>
        <w:ind w:firstLine="480" w:firstLineChars="200"/>
        <w:rPr>
          <w:rFonts w:ascii="宋体" w:hAnsi="宋体" w:eastAsia="宋体" w:cs="宋体"/>
          <w:sz w:val="24"/>
        </w:rPr>
      </w:pPr>
      <w:r>
        <w:rPr>
          <w:rFonts w:hint="eastAsia" w:ascii="宋体" w:hAnsi="宋体" w:eastAsia="宋体" w:cs="宋体"/>
          <w:sz w:val="24"/>
        </w:rPr>
        <w:t>1.2 评委会将综合分析供应商的各项指标，而不以单项指标的优劣评选出预中标人。</w:t>
      </w:r>
      <w:bookmarkStart w:id="63" w:name="_Toc434311845"/>
      <w:bookmarkStart w:id="64" w:name="_Toc429664593"/>
      <w:bookmarkStart w:id="65" w:name="_Toc25849"/>
      <w:bookmarkStart w:id="66" w:name="_Toc437325891"/>
      <w:bookmarkStart w:id="67" w:name="_Toc367433804"/>
      <w:bookmarkStart w:id="68" w:name="_Toc429723608"/>
    </w:p>
    <w:p>
      <w:pPr>
        <w:spacing w:line="360" w:lineRule="auto"/>
        <w:rPr>
          <w:rFonts w:ascii="宋体" w:hAnsi="宋体" w:eastAsia="宋体" w:cs="宋体"/>
          <w:sz w:val="24"/>
        </w:rPr>
      </w:pPr>
      <w:r>
        <w:rPr>
          <w:rFonts w:hint="eastAsia" w:ascii="宋体" w:hAnsi="宋体" w:eastAsia="宋体" w:cs="宋体"/>
          <w:sz w:val="24"/>
        </w:rPr>
        <w:t>二、评标办法</w:t>
      </w:r>
      <w:bookmarkEnd w:id="63"/>
      <w:bookmarkEnd w:id="64"/>
      <w:bookmarkEnd w:id="65"/>
      <w:bookmarkEnd w:id="66"/>
      <w:bookmarkEnd w:id="67"/>
      <w:bookmarkEnd w:id="68"/>
    </w:p>
    <w:tbl>
      <w:tblPr>
        <w:tblStyle w:val="15"/>
        <w:tblW w:w="10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2107"/>
        <w:gridCol w:w="6841"/>
        <w:gridCol w:w="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29" w:type="dxa"/>
            <w:vAlign w:val="center"/>
          </w:tcPr>
          <w:p>
            <w:pPr>
              <w:pStyle w:val="4"/>
              <w:spacing w:before="100" w:after="100" w:line="240" w:lineRule="auto"/>
              <w:ind w:left="0" w:leftChars="0" w:right="0" w:rightChars="0" w:firstLine="0" w:firstLineChars="0"/>
              <w:jc w:val="both"/>
              <w:rPr>
                <w:rFonts w:ascii="宋体" w:hAnsi="宋体" w:cs="宋体"/>
                <w:b w:val="0"/>
                <w:sz w:val="21"/>
                <w:szCs w:val="21"/>
              </w:rPr>
            </w:pPr>
            <w:bookmarkStart w:id="69" w:name="_Toc162350060"/>
            <w:bookmarkStart w:id="70" w:name="_Toc479261005"/>
            <w:r>
              <w:rPr>
                <w:rFonts w:hint="eastAsia" w:ascii="宋体" w:hAnsi="宋体" w:cs="宋体"/>
                <w:b w:val="0"/>
                <w:sz w:val="21"/>
                <w:szCs w:val="21"/>
              </w:rPr>
              <w:t>评标项目</w:t>
            </w: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评标分项</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评分细则</w:t>
            </w:r>
          </w:p>
        </w:tc>
        <w:tc>
          <w:tcPr>
            <w:tcW w:w="534"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29" w:type="dxa"/>
            <w:vMerge w:val="restart"/>
            <w:vAlign w:val="center"/>
          </w:tcPr>
          <w:p>
            <w:pPr>
              <w:bidi w:val="0"/>
              <w:jc w:val="left"/>
            </w:pPr>
            <w:r>
              <w:rPr>
                <w:rFonts w:hint="eastAsia"/>
              </w:rPr>
              <w:t>商务部分（2</w:t>
            </w:r>
            <w:r>
              <w:rPr>
                <w:rFonts w:hint="eastAsia"/>
                <w:lang w:val="en-US" w:eastAsia="zh-CN"/>
              </w:rPr>
              <w:t>5</w:t>
            </w:r>
            <w:r>
              <w:rPr>
                <w:rFonts w:hint="eastAsia"/>
              </w:rPr>
              <w:t>分）</w:t>
            </w: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投标文件的制作</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全面响应招标文件的规定，投标文件编制完整，有详细目录、目录与有关材料装订顺序对应清晰、查阅方便，酌情给0-5分。</w:t>
            </w:r>
          </w:p>
        </w:tc>
        <w:tc>
          <w:tcPr>
            <w:tcW w:w="534" w:type="dxa"/>
            <w:vAlign w:val="center"/>
          </w:tcPr>
          <w:p>
            <w:pPr>
              <w:pStyle w:val="4"/>
              <w:spacing w:before="100" w:after="100" w:line="240" w:lineRule="auto"/>
              <w:ind w:left="0" w:leftChars="0" w:firstLine="0" w:firstLineChars="0"/>
              <w:jc w:val="left"/>
              <w:rPr>
                <w:rFonts w:hint="eastAsia" w:ascii="宋体" w:hAnsi="宋体" w:eastAsia="宋体" w:cs="宋体"/>
                <w:b w:val="0"/>
                <w:sz w:val="21"/>
                <w:szCs w:val="21"/>
                <w:lang w:val="en-US" w:eastAsia="zh-CN"/>
              </w:rPr>
            </w:pPr>
            <w:r>
              <w:rPr>
                <w:rFonts w:hint="eastAsia" w:cs="宋体"/>
                <w:b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Merge w:val="restart"/>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企业实力</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近</w:t>
            </w:r>
            <w:r>
              <w:rPr>
                <w:rFonts w:hint="eastAsia" w:cs="宋体"/>
                <w:b w:val="0"/>
                <w:sz w:val="21"/>
                <w:szCs w:val="21"/>
                <w:lang w:val="en-US" w:eastAsia="zh-CN"/>
              </w:rPr>
              <w:t>两</w:t>
            </w:r>
            <w:r>
              <w:rPr>
                <w:rFonts w:hint="eastAsia" w:ascii="宋体" w:hAnsi="宋体" w:cs="宋体"/>
                <w:b w:val="0"/>
                <w:sz w:val="21"/>
                <w:szCs w:val="21"/>
              </w:rPr>
              <w:t>年财务状况相对优劣，酌情给0～</w:t>
            </w:r>
            <w:r>
              <w:rPr>
                <w:rFonts w:hint="eastAsia" w:ascii="宋体" w:hAnsi="宋体" w:cs="宋体"/>
                <w:b w:val="0"/>
                <w:sz w:val="21"/>
                <w:szCs w:val="21"/>
                <w:lang w:val="en-US" w:eastAsia="zh-CN"/>
              </w:rPr>
              <w:t>4</w:t>
            </w:r>
            <w:r>
              <w:rPr>
                <w:rFonts w:hint="eastAsia" w:ascii="宋体" w:hAnsi="宋体" w:cs="宋体"/>
                <w:b w:val="0"/>
                <w:sz w:val="21"/>
                <w:szCs w:val="21"/>
              </w:rPr>
              <w:t>分。</w:t>
            </w:r>
          </w:p>
        </w:tc>
        <w:tc>
          <w:tcPr>
            <w:tcW w:w="534" w:type="dxa"/>
            <w:vAlign w:val="center"/>
          </w:tcPr>
          <w:p>
            <w:pPr>
              <w:pStyle w:val="4"/>
              <w:spacing w:before="100" w:after="100" w:line="240" w:lineRule="auto"/>
              <w:ind w:left="0" w:leftChars="0" w:firstLine="0" w:firstLineChars="0"/>
              <w:jc w:val="left"/>
              <w:rPr>
                <w:rFonts w:hint="default" w:ascii="宋体" w:hAnsi="宋体" w:eastAsia="宋体" w:cs="宋体"/>
                <w:b w:val="0"/>
                <w:sz w:val="21"/>
                <w:szCs w:val="21"/>
                <w:lang w:val="en-US" w:eastAsia="zh-CN"/>
              </w:rPr>
            </w:pPr>
            <w:r>
              <w:rPr>
                <w:rFonts w:hint="eastAsia" w:cs="宋体"/>
                <w:b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Merge w:val="continue"/>
            <w:vAlign w:val="center"/>
          </w:tcPr>
          <w:p>
            <w:pPr>
              <w:pStyle w:val="4"/>
              <w:spacing w:before="100" w:after="100" w:line="240" w:lineRule="auto"/>
              <w:jc w:val="left"/>
              <w:rPr>
                <w:rFonts w:ascii="宋体" w:hAnsi="宋体" w:cs="宋体"/>
                <w:b w:val="0"/>
                <w:sz w:val="21"/>
                <w:szCs w:val="21"/>
              </w:rPr>
            </w:pP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投标人须在本地设有完善的售后服务体系，能提供本次投标项目应急服务和本地化技术服务，提供得5分，未提供不得分</w:t>
            </w:r>
          </w:p>
        </w:tc>
        <w:tc>
          <w:tcPr>
            <w:tcW w:w="534" w:type="dxa"/>
            <w:vAlign w:val="center"/>
          </w:tcPr>
          <w:p>
            <w:pPr>
              <w:pStyle w:val="4"/>
              <w:spacing w:before="100" w:after="100" w:line="240" w:lineRule="auto"/>
              <w:ind w:left="0" w:leftChars="0" w:firstLine="0" w:firstLineChars="0"/>
              <w:jc w:val="left"/>
              <w:rPr>
                <w:rFonts w:hint="eastAsia" w:ascii="宋体" w:hAnsi="宋体" w:eastAsia="宋体" w:cs="宋体"/>
                <w:b w:val="0"/>
                <w:sz w:val="21"/>
                <w:szCs w:val="21"/>
                <w:lang w:val="en-US" w:eastAsia="zh-CN"/>
              </w:rPr>
            </w:pPr>
            <w:r>
              <w:rPr>
                <w:rFonts w:hint="eastAsia" w:cs="宋体"/>
                <w:b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类似业绩</w:t>
            </w:r>
          </w:p>
        </w:tc>
        <w:tc>
          <w:tcPr>
            <w:tcW w:w="6841" w:type="dxa"/>
            <w:vAlign w:val="center"/>
          </w:tcPr>
          <w:p>
            <w:pPr>
              <w:pStyle w:val="4"/>
              <w:spacing w:before="100" w:after="100" w:line="240" w:lineRule="auto"/>
              <w:ind w:left="0" w:leftChars="0" w:firstLine="0" w:firstLineChars="0"/>
              <w:jc w:val="left"/>
              <w:rPr>
                <w:rFonts w:hint="eastAsia" w:ascii="宋体" w:hAnsi="宋体" w:eastAsia="宋体" w:cs="宋体"/>
                <w:b w:val="0"/>
                <w:sz w:val="21"/>
                <w:szCs w:val="21"/>
                <w:lang w:eastAsia="zh-CN"/>
              </w:rPr>
            </w:pPr>
            <w:r>
              <w:rPr>
                <w:rFonts w:hint="eastAsia" w:ascii="宋体" w:hAnsi="宋体" w:cs="宋体"/>
                <w:b w:val="0"/>
                <w:color w:val="auto"/>
                <w:sz w:val="21"/>
                <w:szCs w:val="21"/>
              </w:rPr>
              <w:t>近</w:t>
            </w:r>
            <w:r>
              <w:rPr>
                <w:rFonts w:hint="eastAsia" w:cs="宋体"/>
                <w:b w:val="0"/>
                <w:color w:val="auto"/>
                <w:sz w:val="21"/>
                <w:szCs w:val="21"/>
                <w:lang w:val="en-US" w:eastAsia="zh-CN"/>
              </w:rPr>
              <w:t>三</w:t>
            </w:r>
            <w:r>
              <w:rPr>
                <w:rFonts w:hint="eastAsia" w:ascii="宋体" w:hAnsi="宋体" w:cs="宋体"/>
                <w:b w:val="0"/>
                <w:color w:val="auto"/>
                <w:sz w:val="21"/>
                <w:szCs w:val="21"/>
              </w:rPr>
              <w:t>年内（20</w:t>
            </w:r>
            <w:r>
              <w:rPr>
                <w:rFonts w:hint="eastAsia" w:cs="宋体"/>
                <w:b w:val="0"/>
                <w:color w:val="auto"/>
                <w:sz w:val="21"/>
                <w:szCs w:val="21"/>
                <w:lang w:val="en-US" w:eastAsia="zh-CN"/>
              </w:rPr>
              <w:t>17</w:t>
            </w:r>
            <w:r>
              <w:rPr>
                <w:rFonts w:hint="eastAsia" w:ascii="宋体" w:hAnsi="宋体" w:cs="宋体"/>
                <w:b w:val="0"/>
                <w:color w:val="auto"/>
                <w:sz w:val="21"/>
                <w:szCs w:val="21"/>
              </w:rPr>
              <w:t>年</w:t>
            </w:r>
            <w:r>
              <w:rPr>
                <w:rFonts w:hint="eastAsia" w:cs="宋体"/>
                <w:b w:val="0"/>
                <w:color w:val="auto"/>
                <w:sz w:val="21"/>
                <w:szCs w:val="21"/>
                <w:lang w:val="en-US" w:eastAsia="zh-CN"/>
              </w:rPr>
              <w:t>01</w:t>
            </w:r>
            <w:r>
              <w:rPr>
                <w:rFonts w:hint="eastAsia" w:ascii="宋体" w:hAnsi="宋体" w:cs="宋体"/>
                <w:b w:val="0"/>
                <w:color w:val="auto"/>
                <w:sz w:val="21"/>
                <w:szCs w:val="21"/>
              </w:rPr>
              <w:t>月至今）承担过类似业绩</w:t>
            </w:r>
            <w:r>
              <w:rPr>
                <w:rFonts w:hint="eastAsia" w:ascii="宋体" w:hAnsi="宋体" w:cs="宋体"/>
                <w:b w:val="0"/>
                <w:color w:val="auto"/>
                <w:sz w:val="21"/>
                <w:szCs w:val="21"/>
                <w:lang w:eastAsia="zh-CN"/>
              </w:rPr>
              <w:t>。</w:t>
            </w:r>
            <w:r>
              <w:rPr>
                <w:rFonts w:hint="eastAsia" w:ascii="宋体" w:hAnsi="宋体" w:cs="宋体"/>
                <w:b w:val="0"/>
                <w:color w:val="auto"/>
                <w:sz w:val="21"/>
                <w:szCs w:val="21"/>
                <w:lang w:val="en-US" w:eastAsia="zh-CN"/>
              </w:rPr>
              <w:t>提供一个</w:t>
            </w:r>
            <w:r>
              <w:rPr>
                <w:rFonts w:hint="eastAsia" w:ascii="宋体" w:hAnsi="宋体" w:cs="宋体"/>
                <w:b w:val="0"/>
                <w:color w:val="auto"/>
                <w:sz w:val="21"/>
                <w:szCs w:val="21"/>
              </w:rPr>
              <w:t>得</w:t>
            </w:r>
            <w:r>
              <w:rPr>
                <w:rFonts w:hint="eastAsia" w:cs="宋体"/>
                <w:b w:val="0"/>
                <w:color w:val="auto"/>
                <w:sz w:val="21"/>
                <w:szCs w:val="21"/>
                <w:lang w:val="en-US" w:eastAsia="zh-CN"/>
              </w:rPr>
              <w:t>2</w:t>
            </w:r>
            <w:r>
              <w:rPr>
                <w:rFonts w:hint="eastAsia" w:ascii="宋体" w:hAnsi="宋体" w:cs="宋体"/>
                <w:b w:val="0"/>
                <w:color w:val="auto"/>
                <w:sz w:val="21"/>
                <w:szCs w:val="21"/>
              </w:rPr>
              <w:t>分，最高的</w:t>
            </w:r>
            <w:r>
              <w:rPr>
                <w:rFonts w:hint="eastAsia" w:ascii="宋体" w:hAnsi="宋体" w:cs="宋体"/>
                <w:b w:val="0"/>
                <w:color w:val="auto"/>
                <w:sz w:val="21"/>
                <w:szCs w:val="21"/>
                <w:lang w:val="en-US" w:eastAsia="zh-CN"/>
              </w:rPr>
              <w:t>6</w:t>
            </w:r>
            <w:r>
              <w:rPr>
                <w:rFonts w:hint="eastAsia" w:ascii="宋体" w:hAnsi="宋体" w:cs="宋体"/>
                <w:b w:val="0"/>
                <w:color w:val="auto"/>
                <w:sz w:val="21"/>
                <w:szCs w:val="21"/>
              </w:rPr>
              <w:t>分</w:t>
            </w:r>
            <w:r>
              <w:rPr>
                <w:rFonts w:hint="eastAsia" w:ascii="宋体" w:hAnsi="宋体" w:cs="宋体"/>
                <w:b w:val="0"/>
                <w:color w:val="auto"/>
                <w:sz w:val="21"/>
                <w:szCs w:val="21"/>
                <w:lang w:eastAsia="zh-CN"/>
              </w:rPr>
              <w:t>。</w:t>
            </w:r>
          </w:p>
        </w:tc>
        <w:tc>
          <w:tcPr>
            <w:tcW w:w="534" w:type="dxa"/>
            <w:vAlign w:val="center"/>
          </w:tcPr>
          <w:p>
            <w:pPr>
              <w:pStyle w:val="4"/>
              <w:spacing w:before="100" w:after="100" w:line="240" w:lineRule="auto"/>
              <w:ind w:left="0" w:leftChars="0" w:firstLine="0" w:firstLineChars="0"/>
              <w:jc w:val="left"/>
              <w:rPr>
                <w:rFonts w:hint="default" w:ascii="宋体" w:hAnsi="宋体" w:eastAsia="宋体" w:cs="宋体"/>
                <w:b w:val="0"/>
                <w:sz w:val="21"/>
                <w:szCs w:val="21"/>
                <w:lang w:val="en-US" w:eastAsia="zh-CN"/>
              </w:rPr>
            </w:pPr>
            <w:r>
              <w:rPr>
                <w:rFonts w:hint="eastAsia" w:cs="宋体"/>
                <w:b w:val="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质保期</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有明确的质保服务措施（包括质保期和故障响应时间），且承诺具体可行，具有一定优势（酌情给分0-</w:t>
            </w:r>
            <w:r>
              <w:rPr>
                <w:rFonts w:hint="eastAsia" w:ascii="宋体" w:hAnsi="宋体" w:cs="宋体"/>
                <w:b w:val="0"/>
                <w:sz w:val="21"/>
                <w:szCs w:val="21"/>
                <w:lang w:val="en-US" w:eastAsia="zh-CN"/>
              </w:rPr>
              <w:t>5</w:t>
            </w:r>
            <w:r>
              <w:rPr>
                <w:rFonts w:hint="eastAsia" w:ascii="宋体" w:hAnsi="宋体" w:cs="宋体"/>
                <w:b w:val="0"/>
                <w:sz w:val="21"/>
                <w:szCs w:val="21"/>
              </w:rPr>
              <w:t>）</w:t>
            </w:r>
          </w:p>
        </w:tc>
        <w:tc>
          <w:tcPr>
            <w:tcW w:w="534" w:type="dxa"/>
            <w:vAlign w:val="center"/>
          </w:tcPr>
          <w:p>
            <w:pPr>
              <w:pStyle w:val="4"/>
              <w:spacing w:before="100" w:after="100" w:line="240" w:lineRule="auto"/>
              <w:ind w:left="0" w:leftChars="0" w:firstLine="0" w:firstLineChars="0"/>
              <w:jc w:val="left"/>
              <w:rPr>
                <w:rFonts w:hint="default" w:ascii="宋体" w:hAnsi="宋体" w:eastAsia="宋体" w:cs="宋体"/>
                <w:b w:val="0"/>
                <w:sz w:val="21"/>
                <w:szCs w:val="21"/>
                <w:lang w:val="en-US" w:eastAsia="zh-CN"/>
              </w:rPr>
            </w:pPr>
            <w:r>
              <w:rPr>
                <w:rFonts w:hint="eastAsia" w:cs="宋体"/>
                <w:b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29" w:type="dxa"/>
            <w:vMerge w:val="restart"/>
            <w:vAlign w:val="center"/>
          </w:tcPr>
          <w:p>
            <w:pPr>
              <w:bidi w:val="0"/>
              <w:jc w:val="left"/>
            </w:pPr>
            <w:r>
              <w:rPr>
                <w:rFonts w:hint="eastAsia"/>
              </w:rPr>
              <w:t>技术部分（</w:t>
            </w:r>
            <w:r>
              <w:rPr>
                <w:rFonts w:hint="eastAsia"/>
                <w:lang w:val="en-US" w:eastAsia="zh-CN"/>
              </w:rPr>
              <w:t>45</w:t>
            </w:r>
            <w:r>
              <w:rPr>
                <w:rFonts w:hint="eastAsia"/>
              </w:rPr>
              <w:t>）分）</w:t>
            </w: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施工方案</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施工组织设计的针对性与完整性（酌情给分0-10）</w:t>
            </w:r>
          </w:p>
        </w:tc>
        <w:tc>
          <w:tcPr>
            <w:tcW w:w="534" w:type="dxa"/>
            <w:vAlign w:val="center"/>
          </w:tcPr>
          <w:p>
            <w:pPr>
              <w:pStyle w:val="4"/>
              <w:spacing w:before="100" w:after="100" w:line="240" w:lineRule="auto"/>
              <w:ind w:left="0" w:leftChars="0" w:firstLine="0" w:firstLineChars="0"/>
              <w:jc w:val="left"/>
              <w:rPr>
                <w:rFonts w:hint="default" w:ascii="宋体" w:hAnsi="宋体" w:eastAsia="宋体" w:cs="宋体"/>
                <w:b w:val="0"/>
                <w:sz w:val="21"/>
                <w:szCs w:val="21"/>
                <w:lang w:val="en-US" w:eastAsia="zh-CN"/>
              </w:rPr>
            </w:pPr>
            <w:r>
              <w:rPr>
                <w:rFonts w:hint="eastAsia" w:cs="宋体"/>
                <w:b w:val="0"/>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投入本工程主要机械设备</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投入主要施工机械计划，较好满足施工需要，酌情给分0-</w:t>
            </w:r>
            <w:r>
              <w:rPr>
                <w:rFonts w:hint="eastAsia" w:ascii="宋体" w:hAnsi="宋体" w:cs="宋体"/>
                <w:b w:val="0"/>
                <w:sz w:val="21"/>
                <w:szCs w:val="21"/>
                <w:lang w:val="en-US" w:eastAsia="zh-CN"/>
              </w:rPr>
              <w:t>5</w:t>
            </w:r>
            <w:r>
              <w:rPr>
                <w:rFonts w:hint="eastAsia" w:ascii="宋体" w:hAnsi="宋体" w:cs="宋体"/>
                <w:b w:val="0"/>
                <w:sz w:val="21"/>
                <w:szCs w:val="21"/>
              </w:rPr>
              <w:t>分</w:t>
            </w:r>
          </w:p>
        </w:tc>
        <w:tc>
          <w:tcPr>
            <w:tcW w:w="534" w:type="dxa"/>
            <w:vAlign w:val="center"/>
          </w:tcPr>
          <w:p>
            <w:pPr>
              <w:pStyle w:val="4"/>
              <w:spacing w:before="100" w:after="100" w:line="240" w:lineRule="auto"/>
              <w:ind w:left="0" w:leftChars="0" w:firstLine="0" w:firstLineChars="0"/>
              <w:jc w:val="left"/>
              <w:rPr>
                <w:rFonts w:hint="eastAsia" w:ascii="宋体" w:hAnsi="宋体" w:eastAsia="宋体" w:cs="宋体"/>
                <w:b w:val="0"/>
                <w:sz w:val="21"/>
                <w:szCs w:val="21"/>
                <w:lang w:eastAsia="zh-CN"/>
              </w:rPr>
            </w:pPr>
            <w:r>
              <w:rPr>
                <w:rFonts w:hint="eastAsia" w:ascii="宋体" w:hAnsi="宋体" w:cs="宋体"/>
                <w:b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Align w:val="center"/>
          </w:tcPr>
          <w:p>
            <w:pPr>
              <w:pStyle w:val="4"/>
              <w:spacing w:before="100" w:after="100" w:line="240" w:lineRule="auto"/>
              <w:ind w:left="0" w:leftChars="0" w:firstLine="0" w:firstLineChars="0"/>
              <w:jc w:val="left"/>
              <w:rPr>
                <w:rFonts w:hint="eastAsia" w:ascii="宋体" w:hAnsi="宋体" w:eastAsia="宋体" w:cs="宋体"/>
                <w:b w:val="0"/>
                <w:sz w:val="21"/>
                <w:szCs w:val="21"/>
                <w:lang w:val="en-US" w:eastAsia="zh-CN"/>
              </w:rPr>
            </w:pPr>
            <w:r>
              <w:rPr>
                <w:rFonts w:hint="eastAsia" w:ascii="宋体" w:hAnsi="宋体" w:cs="宋体"/>
                <w:b w:val="0"/>
                <w:sz w:val="21"/>
                <w:szCs w:val="21"/>
              </w:rPr>
              <w:t>劳动力供应计划</w:t>
            </w:r>
            <w:r>
              <w:rPr>
                <w:rFonts w:hint="eastAsia" w:ascii="宋体" w:hAnsi="宋体" w:cs="宋体"/>
                <w:b w:val="0"/>
                <w:sz w:val="21"/>
                <w:szCs w:val="21"/>
                <w:lang w:val="en-US" w:eastAsia="zh-CN"/>
              </w:rPr>
              <w:t>及保障措施</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投入计划与进度计划呼应，拟投入的主要物资计划，较好满足施工需要，调配投入计划合理；酌情给分0-</w:t>
            </w:r>
            <w:r>
              <w:rPr>
                <w:rFonts w:hint="eastAsia" w:ascii="宋体" w:hAnsi="宋体" w:cs="宋体"/>
                <w:b w:val="0"/>
                <w:sz w:val="21"/>
                <w:szCs w:val="21"/>
                <w:lang w:val="en-US" w:eastAsia="zh-CN"/>
              </w:rPr>
              <w:t>5</w:t>
            </w:r>
            <w:r>
              <w:rPr>
                <w:rFonts w:hint="eastAsia" w:ascii="宋体" w:hAnsi="宋体" w:cs="宋体"/>
                <w:b w:val="0"/>
                <w:sz w:val="21"/>
                <w:szCs w:val="21"/>
              </w:rPr>
              <w:t>分</w:t>
            </w:r>
          </w:p>
        </w:tc>
        <w:tc>
          <w:tcPr>
            <w:tcW w:w="534" w:type="dxa"/>
            <w:vAlign w:val="center"/>
          </w:tcPr>
          <w:p>
            <w:pPr>
              <w:pStyle w:val="4"/>
              <w:spacing w:before="100" w:after="100" w:line="240" w:lineRule="auto"/>
              <w:ind w:left="0" w:leftChars="0" w:firstLine="0" w:firstLineChars="0"/>
              <w:jc w:val="left"/>
              <w:rPr>
                <w:rFonts w:hint="eastAsia" w:ascii="宋体" w:hAnsi="宋体" w:eastAsia="宋体" w:cs="宋体"/>
                <w:b w:val="0"/>
                <w:sz w:val="21"/>
                <w:szCs w:val="21"/>
                <w:lang w:eastAsia="zh-CN"/>
              </w:rPr>
            </w:pPr>
            <w:r>
              <w:rPr>
                <w:rFonts w:hint="eastAsia" w:ascii="宋体" w:hAnsi="宋体" w:cs="宋体"/>
                <w:b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工期及措施保障</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满足招标文件的总体工期要求，关键线路清晰，准确，完整，提出的进度计划合理、可行，关键节点的控制措施有力合理可行，工期保障措施完整得当，进度违约责任承诺具体，经济赔偿合理（酌情给分0-5）</w:t>
            </w:r>
          </w:p>
        </w:tc>
        <w:tc>
          <w:tcPr>
            <w:tcW w:w="534"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文明、安全施工措施</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确保文明施工、安全生产的技术组织措施（酌情给分0-</w:t>
            </w:r>
            <w:r>
              <w:rPr>
                <w:rFonts w:hint="eastAsia" w:ascii="宋体" w:hAnsi="宋体" w:cs="宋体"/>
                <w:b w:val="0"/>
                <w:sz w:val="21"/>
                <w:szCs w:val="21"/>
                <w:lang w:val="en-US" w:eastAsia="zh-CN"/>
              </w:rPr>
              <w:t>5</w:t>
            </w:r>
            <w:r>
              <w:rPr>
                <w:rFonts w:hint="eastAsia" w:ascii="宋体" w:hAnsi="宋体" w:cs="宋体"/>
                <w:b w:val="0"/>
                <w:sz w:val="21"/>
                <w:szCs w:val="21"/>
              </w:rPr>
              <w:t>）</w:t>
            </w:r>
          </w:p>
        </w:tc>
        <w:tc>
          <w:tcPr>
            <w:tcW w:w="534" w:type="dxa"/>
            <w:vAlign w:val="center"/>
          </w:tcPr>
          <w:p>
            <w:pPr>
              <w:pStyle w:val="4"/>
              <w:spacing w:before="100" w:after="100" w:line="240" w:lineRule="auto"/>
              <w:ind w:left="0" w:leftChars="0" w:firstLine="0" w:firstLineChars="0"/>
              <w:jc w:val="left"/>
              <w:rPr>
                <w:rFonts w:hint="eastAsia" w:ascii="宋体" w:hAnsi="宋体" w:eastAsia="宋体" w:cs="宋体"/>
                <w:b w:val="0"/>
                <w:sz w:val="21"/>
                <w:szCs w:val="21"/>
                <w:lang w:eastAsia="zh-CN"/>
              </w:rPr>
            </w:pPr>
            <w:r>
              <w:rPr>
                <w:rFonts w:hint="eastAsia" w:ascii="宋体" w:hAnsi="宋体" w:cs="宋体"/>
                <w:b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工程质量保证措施</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确保工程质量的技术组织措施，材料、设备质量保证措施（酌情给分0-</w:t>
            </w:r>
            <w:r>
              <w:rPr>
                <w:rFonts w:hint="eastAsia" w:ascii="宋体" w:hAnsi="宋体" w:cs="宋体"/>
                <w:b w:val="0"/>
                <w:sz w:val="21"/>
                <w:szCs w:val="21"/>
                <w:lang w:val="en-US" w:eastAsia="zh-CN"/>
              </w:rPr>
              <w:t>5</w:t>
            </w:r>
            <w:r>
              <w:rPr>
                <w:rFonts w:hint="eastAsia" w:ascii="宋体" w:hAnsi="宋体" w:cs="宋体"/>
                <w:b w:val="0"/>
                <w:sz w:val="21"/>
                <w:szCs w:val="21"/>
              </w:rPr>
              <w:t>）</w:t>
            </w:r>
          </w:p>
        </w:tc>
        <w:tc>
          <w:tcPr>
            <w:tcW w:w="534" w:type="dxa"/>
            <w:vAlign w:val="center"/>
          </w:tcPr>
          <w:p>
            <w:pPr>
              <w:pStyle w:val="4"/>
              <w:spacing w:before="100" w:after="100" w:line="240" w:lineRule="auto"/>
              <w:ind w:left="0" w:leftChars="0" w:firstLine="0" w:firstLineChars="0"/>
              <w:jc w:val="left"/>
              <w:rPr>
                <w:rFonts w:hint="eastAsia" w:ascii="宋体" w:hAnsi="宋体" w:eastAsia="宋体" w:cs="宋体"/>
                <w:b w:val="0"/>
                <w:sz w:val="21"/>
                <w:szCs w:val="21"/>
                <w:lang w:eastAsia="zh-CN"/>
              </w:rPr>
            </w:pPr>
            <w:r>
              <w:rPr>
                <w:rFonts w:hint="eastAsia" w:ascii="宋体" w:hAnsi="宋体" w:cs="宋体"/>
                <w:b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29" w:type="dxa"/>
            <w:vMerge w:val="continue"/>
            <w:vAlign w:val="center"/>
          </w:tcPr>
          <w:p>
            <w:pPr>
              <w:pStyle w:val="4"/>
              <w:spacing w:before="100" w:after="100" w:line="240" w:lineRule="auto"/>
              <w:jc w:val="left"/>
              <w:rPr>
                <w:rFonts w:ascii="宋体" w:hAnsi="宋体" w:cs="宋体"/>
                <w:b w:val="0"/>
                <w:sz w:val="21"/>
                <w:szCs w:val="21"/>
              </w:rPr>
            </w:pPr>
          </w:p>
        </w:tc>
        <w:tc>
          <w:tcPr>
            <w:tcW w:w="2107" w:type="dxa"/>
            <w:vAlign w:val="center"/>
          </w:tcPr>
          <w:p>
            <w:pPr>
              <w:pStyle w:val="4"/>
              <w:spacing w:before="100" w:after="100" w:line="240" w:lineRule="auto"/>
              <w:ind w:left="0" w:leftChars="0" w:firstLine="0" w:firstLineChars="0"/>
              <w:jc w:val="both"/>
              <w:rPr>
                <w:rFonts w:ascii="宋体" w:hAnsi="宋体" w:cs="宋体"/>
                <w:b w:val="0"/>
                <w:sz w:val="21"/>
                <w:szCs w:val="21"/>
              </w:rPr>
            </w:pPr>
            <w:r>
              <w:rPr>
                <w:rFonts w:hint="eastAsia" w:ascii="宋体" w:hAnsi="宋体" w:cs="宋体"/>
                <w:b w:val="0"/>
                <w:sz w:val="21"/>
                <w:szCs w:val="21"/>
                <w:lang w:eastAsia="zh-CN"/>
              </w:rPr>
              <w:t>应急</w:t>
            </w:r>
            <w:r>
              <w:rPr>
                <w:rFonts w:hint="eastAsia" w:ascii="宋体" w:hAnsi="宋体" w:cs="宋体"/>
                <w:b w:val="0"/>
                <w:sz w:val="21"/>
                <w:szCs w:val="21"/>
              </w:rPr>
              <w:t>措施</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紧急情况的处理措施、预案以及抵抗风险的措施（酌情给分0-</w:t>
            </w:r>
            <w:r>
              <w:rPr>
                <w:rFonts w:hint="eastAsia" w:ascii="宋体" w:hAnsi="宋体" w:cs="宋体"/>
                <w:b w:val="0"/>
                <w:sz w:val="21"/>
                <w:szCs w:val="21"/>
                <w:lang w:val="en-US" w:eastAsia="zh-CN"/>
              </w:rPr>
              <w:t>10</w:t>
            </w:r>
            <w:r>
              <w:rPr>
                <w:rFonts w:hint="eastAsia" w:ascii="宋体" w:hAnsi="宋体" w:cs="宋体"/>
                <w:b w:val="0"/>
                <w:sz w:val="21"/>
                <w:szCs w:val="21"/>
              </w:rPr>
              <w:t>）</w:t>
            </w:r>
          </w:p>
        </w:tc>
        <w:tc>
          <w:tcPr>
            <w:tcW w:w="534" w:type="dxa"/>
            <w:vAlign w:val="center"/>
          </w:tcPr>
          <w:p>
            <w:pPr>
              <w:pStyle w:val="4"/>
              <w:spacing w:before="100" w:after="100" w:line="240" w:lineRule="auto"/>
              <w:ind w:left="0" w:leftChars="0" w:firstLine="0" w:firstLineChars="0"/>
              <w:jc w:val="left"/>
              <w:rPr>
                <w:rFonts w:hint="default" w:ascii="宋体" w:hAnsi="宋体" w:eastAsia="宋体" w:cs="宋体"/>
                <w:b w:val="0"/>
                <w:sz w:val="21"/>
                <w:szCs w:val="21"/>
                <w:lang w:val="en-US" w:eastAsia="zh-CN"/>
              </w:rPr>
            </w:pPr>
            <w:r>
              <w:rPr>
                <w:rFonts w:hint="eastAsia" w:ascii="宋体" w:hAnsi="宋体" w:cs="宋体"/>
                <w:b w:val="0"/>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2836" w:type="dxa"/>
            <w:gridSpan w:val="2"/>
            <w:vAlign w:val="center"/>
          </w:tcPr>
          <w:p>
            <w:pPr>
              <w:pStyle w:val="4"/>
              <w:spacing w:before="100" w:after="100" w:line="240" w:lineRule="auto"/>
              <w:ind w:left="0" w:leftChars="0" w:firstLine="0" w:firstLineChars="0"/>
              <w:jc w:val="left"/>
            </w:pPr>
            <w:r>
              <w:rPr>
                <w:rFonts w:hint="eastAsia" w:ascii="宋体" w:hAnsi="宋体" w:cs="宋体"/>
                <w:b w:val="0"/>
                <w:sz w:val="21"/>
                <w:szCs w:val="21"/>
              </w:rPr>
              <w:t>价格部分（30分）</w:t>
            </w:r>
          </w:p>
        </w:tc>
        <w:tc>
          <w:tcPr>
            <w:tcW w:w="6841"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价格分采用低价优先法计算，即满足招标文件要求且投标价格最低的投标报价为评标基准价，其价格分为满分。其他投标人的价格分值按照下列公式计算：</w:t>
            </w:r>
          </w:p>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投标报价得分=(评标基准价／投标报价)×30%×100</w:t>
            </w:r>
          </w:p>
        </w:tc>
        <w:tc>
          <w:tcPr>
            <w:tcW w:w="534" w:type="dxa"/>
            <w:vAlign w:val="center"/>
          </w:tcPr>
          <w:p>
            <w:pPr>
              <w:pStyle w:val="4"/>
              <w:spacing w:before="100" w:after="100" w:line="24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836" w:type="dxa"/>
            <w:gridSpan w:val="2"/>
            <w:vAlign w:val="center"/>
          </w:tcPr>
          <w:p>
            <w:pPr>
              <w:pStyle w:val="4"/>
              <w:spacing w:before="100" w:after="100" w:line="240" w:lineRule="auto"/>
              <w:ind w:left="0" w:leftChars="0" w:firstLine="0" w:firstLineChars="0"/>
              <w:jc w:val="center"/>
              <w:rPr>
                <w:rFonts w:ascii="宋体" w:hAnsi="宋体" w:cs="宋体"/>
                <w:b w:val="0"/>
                <w:sz w:val="21"/>
                <w:szCs w:val="21"/>
              </w:rPr>
            </w:pPr>
            <w:r>
              <w:rPr>
                <w:rFonts w:hint="eastAsia" w:ascii="宋体" w:hAnsi="宋体" w:cs="宋体"/>
                <w:b w:val="0"/>
                <w:sz w:val="21"/>
                <w:szCs w:val="21"/>
              </w:rPr>
              <w:t>总   分</w:t>
            </w:r>
          </w:p>
        </w:tc>
        <w:tc>
          <w:tcPr>
            <w:tcW w:w="7375" w:type="dxa"/>
            <w:gridSpan w:val="2"/>
            <w:vAlign w:val="center"/>
          </w:tcPr>
          <w:p>
            <w:pPr>
              <w:pStyle w:val="4"/>
              <w:spacing w:before="100" w:after="100" w:line="240" w:lineRule="auto"/>
              <w:ind w:left="0" w:leftChars="0" w:firstLine="0" w:firstLineChars="0"/>
              <w:jc w:val="center"/>
              <w:rPr>
                <w:rFonts w:ascii="宋体" w:hAnsi="宋体" w:cs="宋体"/>
                <w:b w:val="0"/>
                <w:sz w:val="21"/>
                <w:szCs w:val="21"/>
              </w:rPr>
            </w:pPr>
            <w:r>
              <w:rPr>
                <w:rFonts w:hint="eastAsia" w:ascii="宋体" w:hAnsi="宋体" w:cs="宋体"/>
                <w:b w:val="0"/>
                <w:sz w:val="21"/>
                <w:szCs w:val="21"/>
              </w:rPr>
              <w:fldChar w:fldCharType="begin"/>
            </w:r>
            <w:r>
              <w:rPr>
                <w:rFonts w:hint="eastAsia" w:ascii="宋体" w:hAnsi="宋体" w:cs="宋体"/>
                <w:b w:val="0"/>
                <w:sz w:val="21"/>
                <w:szCs w:val="21"/>
              </w:rPr>
              <w:instrText xml:space="preserve"> =SUM(ABOVE) </w:instrText>
            </w:r>
            <w:r>
              <w:rPr>
                <w:rFonts w:hint="eastAsia" w:ascii="宋体" w:hAnsi="宋体" w:cs="宋体"/>
                <w:b w:val="0"/>
                <w:sz w:val="21"/>
                <w:szCs w:val="21"/>
              </w:rPr>
              <w:fldChar w:fldCharType="separate"/>
            </w:r>
            <w:r>
              <w:rPr>
                <w:rFonts w:hint="eastAsia" w:ascii="宋体" w:hAnsi="宋体" w:cs="宋体"/>
                <w:b w:val="0"/>
                <w:sz w:val="21"/>
                <w:szCs w:val="21"/>
              </w:rPr>
              <w:t>100</w:t>
            </w:r>
            <w:r>
              <w:rPr>
                <w:rFonts w:hint="eastAsia" w:ascii="宋体" w:hAnsi="宋体" w:cs="宋体"/>
                <w:b w:val="0"/>
                <w:sz w:val="21"/>
                <w:szCs w:val="21"/>
              </w:rPr>
              <w:fldChar w:fldCharType="end"/>
            </w:r>
          </w:p>
        </w:tc>
      </w:tr>
    </w:tbl>
    <w:p>
      <w:pPr>
        <w:pStyle w:val="4"/>
        <w:spacing w:before="100" w:after="100" w:line="360" w:lineRule="auto"/>
        <w:ind w:left="0" w:leftChars="0" w:firstLine="0" w:firstLineChars="0"/>
        <w:jc w:val="left"/>
        <w:rPr>
          <w:rFonts w:ascii="宋体" w:hAnsi="宋体" w:cs="宋体"/>
          <w:b w:val="0"/>
          <w:sz w:val="21"/>
          <w:szCs w:val="21"/>
        </w:rPr>
      </w:pPr>
      <w:r>
        <w:rPr>
          <w:rFonts w:hint="eastAsia" w:ascii="宋体" w:hAnsi="宋体" w:cs="宋体"/>
          <w:b w:val="0"/>
          <w:sz w:val="21"/>
          <w:szCs w:val="21"/>
        </w:rPr>
        <w:t>三、计分办法</w:t>
      </w:r>
      <w:bookmarkEnd w:id="69"/>
      <w:bookmarkEnd w:id="70"/>
    </w:p>
    <w:p>
      <w:pPr>
        <w:widowControl/>
        <w:spacing w:line="360" w:lineRule="auto"/>
        <w:rPr>
          <w:rFonts w:ascii="宋体" w:hAnsi="宋体" w:eastAsia="宋体" w:cs="宋体"/>
          <w:color w:val="000000"/>
          <w:sz w:val="21"/>
          <w:szCs w:val="21"/>
        </w:rPr>
      </w:pPr>
      <w:bookmarkStart w:id="71" w:name="_Toc162350061"/>
      <w:r>
        <w:rPr>
          <w:rFonts w:hint="eastAsia" w:ascii="宋体" w:hAnsi="宋体" w:eastAsia="宋体" w:cs="宋体"/>
          <w:color w:val="000000"/>
          <w:sz w:val="21"/>
          <w:szCs w:val="21"/>
        </w:rPr>
        <w:t>1、磋商小组成员按照本办法上述有关规定,给各磋商响应文件评分, 价格、商务、技术三部分的总分为参与磋商投标人的评定分数，如提供虚假证明材料，大项计零分处理。</w:t>
      </w:r>
    </w:p>
    <w:p>
      <w:pPr>
        <w:widowControl/>
        <w:spacing w:line="360" w:lineRule="auto"/>
        <w:rPr>
          <w:rFonts w:ascii="宋体" w:hAnsi="宋体" w:eastAsia="宋体" w:cs="宋体"/>
          <w:color w:val="000000"/>
          <w:sz w:val="21"/>
          <w:szCs w:val="21"/>
        </w:rPr>
      </w:pPr>
      <w:r>
        <w:rPr>
          <w:rFonts w:hint="eastAsia" w:ascii="宋体" w:hAnsi="宋体" w:eastAsia="宋体" w:cs="宋体"/>
          <w:color w:val="000000"/>
          <w:sz w:val="21"/>
          <w:szCs w:val="21"/>
        </w:rPr>
        <w:t>2、各参与磋商投标人磋商的最终得分为各磋商小组成员所评定分数的算术平均值。</w:t>
      </w:r>
    </w:p>
    <w:p>
      <w:pPr>
        <w:widowControl/>
        <w:spacing w:line="360" w:lineRule="auto"/>
        <w:rPr>
          <w:rFonts w:ascii="宋体" w:hAnsi="宋体" w:eastAsia="宋体" w:cs="宋体"/>
          <w:color w:val="000000"/>
          <w:sz w:val="21"/>
          <w:szCs w:val="21"/>
        </w:rPr>
      </w:pPr>
      <w:r>
        <w:rPr>
          <w:rFonts w:hint="eastAsia" w:ascii="宋体" w:hAnsi="宋体" w:eastAsia="宋体" w:cs="宋体"/>
          <w:color w:val="000000"/>
          <w:sz w:val="21"/>
          <w:szCs w:val="21"/>
        </w:rPr>
        <w:t>3、各项统计、评分结果均按四舍五入方法精确到小数点后两位。</w:t>
      </w:r>
    </w:p>
    <w:p>
      <w:pPr>
        <w:widowControl/>
        <w:spacing w:line="360" w:lineRule="auto"/>
        <w:rPr>
          <w:rFonts w:ascii="宋体" w:hAnsi="宋体" w:eastAsia="宋体" w:cs="宋体"/>
          <w:color w:val="000000"/>
          <w:sz w:val="21"/>
          <w:szCs w:val="21"/>
        </w:rPr>
      </w:pPr>
      <w:r>
        <w:rPr>
          <w:rFonts w:hint="eastAsia" w:ascii="宋体" w:hAnsi="宋体" w:eastAsia="宋体" w:cs="宋体"/>
          <w:color w:val="000000"/>
          <w:sz w:val="21"/>
          <w:szCs w:val="21"/>
        </w:rPr>
        <w:t>4、磋商小组根据各参与磋商投标人磋商的最终评分,按高低次序确定参与磋商投标人最终的排列名次。如果参与磋商投标人的最终评分相同，则磋商报价低的参与磋商投标人排名优先。</w:t>
      </w:r>
    </w:p>
    <w:p>
      <w:pPr>
        <w:pStyle w:val="4"/>
        <w:spacing w:before="100" w:after="100" w:line="360" w:lineRule="auto"/>
        <w:jc w:val="left"/>
        <w:rPr>
          <w:rFonts w:ascii="宋体" w:hAnsi="宋体" w:cs="宋体"/>
          <w:b w:val="0"/>
          <w:sz w:val="21"/>
          <w:szCs w:val="21"/>
        </w:rPr>
      </w:pPr>
      <w:bookmarkStart w:id="72" w:name="_Toc479261006"/>
      <w:r>
        <w:rPr>
          <w:rFonts w:hint="eastAsia" w:ascii="宋体" w:hAnsi="宋体" w:cs="宋体"/>
          <w:b w:val="0"/>
          <w:sz w:val="21"/>
          <w:szCs w:val="21"/>
        </w:rPr>
        <w:t>四、定标</w:t>
      </w:r>
      <w:bookmarkEnd w:id="71"/>
      <w:r>
        <w:rPr>
          <w:rFonts w:hint="eastAsia" w:ascii="宋体" w:hAnsi="宋体" w:cs="宋体"/>
          <w:b w:val="0"/>
          <w:sz w:val="21"/>
          <w:szCs w:val="21"/>
        </w:rPr>
        <w:t>办法</w:t>
      </w:r>
      <w:bookmarkEnd w:id="72"/>
    </w:p>
    <w:p>
      <w:pPr>
        <w:widowControl/>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招标人将按照评标委员会推荐的中标候选人，依排名顺序依次确定中标人。排名第一的中标候选人放弃中标、因不可抗力提出不能履行合同、或者招标文件规定应当提交履约担保而在规定的期限内未能提交的，招标人可以确定排名第二的中标候选人为中标人。排名第二的中标候选人因上述的同样原因不能签订合同的，招标人可以确定排名第三的中标候选人为中标人。</w:t>
      </w:r>
      <w:bookmarkEnd w:id="59"/>
      <w:bookmarkEnd w:id="60"/>
      <w:bookmarkEnd w:id="61"/>
      <w:bookmarkEnd w:id="62"/>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widowControl/>
        <w:ind w:firstLine="560" w:firstLineChars="200"/>
        <w:rPr>
          <w:rFonts w:hint="eastAsia" w:ascii="宋体" w:hAnsi="宋体" w:eastAsia="宋体" w:cs="宋体"/>
          <w:color w:val="000000"/>
          <w:sz w:val="28"/>
          <w:szCs w:val="28"/>
        </w:rPr>
      </w:pPr>
    </w:p>
    <w:p>
      <w:pPr>
        <w:keepNext w:val="0"/>
        <w:keepLines w:val="0"/>
        <w:pageBreakBefore w:val="0"/>
        <w:widowControl/>
        <w:kinsoku/>
        <w:wordWrap/>
        <w:overflowPunct/>
        <w:topLinePunct w:val="0"/>
        <w:bidi w:val="0"/>
        <w:adjustRightInd/>
        <w:snapToGrid/>
        <w:spacing w:line="200" w:lineRule="atLeast"/>
        <w:rPr>
          <w:rFonts w:hint="eastAsia" w:ascii="宋体" w:hAnsi="宋体" w:eastAsia="宋体" w:cs="宋体"/>
          <w:b/>
          <w:bCs/>
          <w:color w:val="000000"/>
          <w:sz w:val="28"/>
          <w:szCs w:val="28"/>
          <w:lang w:val="en-US" w:eastAsia="zh-CN"/>
        </w:rPr>
      </w:pPr>
      <w:bookmarkStart w:id="73" w:name="_Toc26732_WPSOffice_Level1"/>
      <w:r>
        <w:rPr>
          <w:rFonts w:hint="eastAsia" w:ascii="宋体" w:hAnsi="宋体" w:eastAsia="宋体" w:cs="宋体"/>
          <w:b/>
          <w:bCs/>
          <w:color w:val="000000"/>
          <w:sz w:val="28"/>
          <w:szCs w:val="28"/>
          <w:lang w:val="en-US" w:eastAsia="zh-CN"/>
        </w:rPr>
        <w:t>附件一：</w:t>
      </w:r>
      <w:bookmarkEnd w:id="73"/>
    </w:p>
    <w:p>
      <w:pPr>
        <w:keepNext w:val="0"/>
        <w:keepLines w:val="0"/>
        <w:pageBreakBefore w:val="0"/>
        <w:widowControl/>
        <w:kinsoku/>
        <w:wordWrap/>
        <w:overflowPunct/>
        <w:topLinePunct w:val="0"/>
        <w:bidi w:val="0"/>
        <w:adjustRightInd/>
        <w:snapToGrid/>
        <w:spacing w:line="200" w:lineRule="atLeast"/>
        <w:jc w:val="center"/>
        <w:rPr>
          <w:rFonts w:hint="eastAsia"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工程量清单</w:t>
      </w:r>
    </w:p>
    <w:tbl>
      <w:tblPr>
        <w:tblW w:w="5323" w:type="pct"/>
        <w:tblInd w:w="0" w:type="dxa"/>
        <w:shd w:val="clear"/>
        <w:tblLayout w:type="autofit"/>
        <w:tblCellMar>
          <w:top w:w="0" w:type="dxa"/>
          <w:left w:w="0" w:type="dxa"/>
          <w:bottom w:w="0" w:type="dxa"/>
          <w:right w:w="0" w:type="dxa"/>
        </w:tblCellMar>
      </w:tblPr>
      <w:tblGrid>
        <w:gridCol w:w="780"/>
        <w:gridCol w:w="80"/>
        <w:gridCol w:w="1230"/>
        <w:gridCol w:w="108"/>
        <w:gridCol w:w="1097"/>
        <w:gridCol w:w="966"/>
        <w:gridCol w:w="639"/>
        <w:gridCol w:w="797"/>
        <w:gridCol w:w="202"/>
        <w:gridCol w:w="235"/>
        <w:gridCol w:w="271"/>
        <w:gridCol w:w="556"/>
        <w:gridCol w:w="350"/>
        <w:gridCol w:w="171"/>
        <w:gridCol w:w="385"/>
        <w:gridCol w:w="85"/>
        <w:gridCol w:w="441"/>
        <w:gridCol w:w="556"/>
        <w:gridCol w:w="547"/>
        <w:gridCol w:w="285"/>
        <w:gridCol w:w="627"/>
      </w:tblGrid>
      <w:tr>
        <w:tblPrEx>
          <w:shd w:val="clear"/>
          <w:tblCellMar>
            <w:top w:w="0" w:type="dxa"/>
            <w:left w:w="0" w:type="dxa"/>
            <w:bottom w:w="0" w:type="dxa"/>
            <w:right w:w="0" w:type="dxa"/>
          </w:tblCellMar>
        </w:tblPrEx>
        <w:trPr>
          <w:gridAfter w:val="1"/>
          <w:wAfter w:w="300" w:type="pct"/>
          <w:trHeight w:val="795" w:hRule="atLeast"/>
        </w:trPr>
        <w:tc>
          <w:tcPr>
            <w:tcW w:w="4699" w:type="pct"/>
            <w:gridSpan w:val="20"/>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gridAfter w:val="1"/>
          <w:wAfter w:w="300" w:type="pct"/>
          <w:trHeight w:val="727" w:hRule="atLeast"/>
        </w:trPr>
        <w:tc>
          <w:tcPr>
            <w:tcW w:w="2047" w:type="pct"/>
            <w:gridSpan w:val="6"/>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工程名称：10kV线路及低压线路</w:t>
            </w:r>
          </w:p>
        </w:tc>
        <w:tc>
          <w:tcPr>
            <w:tcW w:w="1547" w:type="pct"/>
            <w:gridSpan w:val="8"/>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104" w:type="pct"/>
            <w:gridSpan w:val="6"/>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1 页  共 5 页</w:t>
            </w:r>
          </w:p>
        </w:tc>
      </w:tr>
      <w:tr>
        <w:tblPrEx>
          <w:tblCellMar>
            <w:top w:w="0" w:type="dxa"/>
            <w:left w:w="0" w:type="dxa"/>
            <w:bottom w:w="0" w:type="dxa"/>
            <w:right w:w="0" w:type="dxa"/>
          </w:tblCellMar>
        </w:tblPrEx>
        <w:trPr>
          <w:gridAfter w:val="1"/>
          <w:wAfter w:w="300" w:type="pct"/>
          <w:trHeight w:val="360" w:hRule="atLeast"/>
        </w:trPr>
        <w:tc>
          <w:tcPr>
            <w:tcW w:w="375" w:type="pct"/>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681" w:type="pct"/>
            <w:gridSpan w:val="3"/>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527" w:type="pct"/>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1154" w:type="pct"/>
            <w:gridSpan w:val="3"/>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210"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397"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1352" w:type="pct"/>
            <w:gridSpan w:val="8"/>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gridAfter w:val="1"/>
          <w:wAfter w:w="300" w:type="pct"/>
          <w:trHeight w:val="360" w:hRule="atLeast"/>
        </w:trPr>
        <w:tc>
          <w:tcPr>
            <w:tcW w:w="375" w:type="pct"/>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81"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7" w:type="pct"/>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54"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0"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97"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73" w:type="pct"/>
            <w:gridSpan w:val="4"/>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478" w:type="pct"/>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400"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gridAfter w:val="1"/>
          <w:wAfter w:w="300" w:type="pct"/>
          <w:trHeight w:val="360" w:hRule="atLeast"/>
        </w:trPr>
        <w:tc>
          <w:tcPr>
            <w:tcW w:w="375" w:type="pct"/>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81"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7" w:type="pct"/>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54" w:type="pct"/>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0"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97"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73" w:type="pct"/>
            <w:gridSpan w:val="4"/>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78" w:type="pct"/>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00"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gridAfter w:val="1"/>
          <w:wAfter w:w="300" w:type="pct"/>
          <w:trHeight w:val="360" w:hRule="atLeast"/>
        </w:trPr>
        <w:tc>
          <w:tcPr>
            <w:tcW w:w="375"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81"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10kV线路</w:t>
            </w:r>
          </w:p>
        </w:tc>
        <w:tc>
          <w:tcPr>
            <w:tcW w:w="1154"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97"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73"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78"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00"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gridAfter w:val="1"/>
          <w:wAfter w:w="300" w:type="pct"/>
          <w:trHeight w:val="2355" w:hRule="atLeast"/>
        </w:trPr>
        <w:tc>
          <w:tcPr>
            <w:tcW w:w="375"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681"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030402018003</w:t>
            </w:r>
          </w:p>
        </w:tc>
        <w:tc>
          <w:tcPr>
            <w:tcW w:w="527"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组合型成套箱式变电站</w:t>
            </w:r>
          </w:p>
        </w:tc>
        <w:tc>
          <w:tcPr>
            <w:tcW w:w="1154"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1.名称:新建1#临时专用箱变</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 xml:space="preserve">2.型号:SCB10-10 500kVA </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3.容量（kV·A):500kVA</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4.电压（kV):10/0.22kV Uk=4%</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5.组合形式:带计量,1进3出型</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21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座</w:t>
            </w:r>
          </w:p>
        </w:tc>
        <w:tc>
          <w:tcPr>
            <w:tcW w:w="397"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473"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78"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00"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gridAfter w:val="1"/>
          <w:wAfter w:w="300" w:type="pct"/>
          <w:trHeight w:val="2355" w:hRule="atLeast"/>
        </w:trPr>
        <w:tc>
          <w:tcPr>
            <w:tcW w:w="375"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681"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030402018002</w:t>
            </w:r>
          </w:p>
        </w:tc>
        <w:tc>
          <w:tcPr>
            <w:tcW w:w="527"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组合型成套箱式变电站</w:t>
            </w:r>
          </w:p>
        </w:tc>
        <w:tc>
          <w:tcPr>
            <w:tcW w:w="1154"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1.名称:已建2#临时专用箱变（拆除及安装）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2.型号:SCB10-10 630kVA</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3.容量（kV·A):630kVA</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4.工作内容:位置迁移、吊装、运输等，设备利旧（基础新建）</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21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座</w:t>
            </w:r>
          </w:p>
        </w:tc>
        <w:tc>
          <w:tcPr>
            <w:tcW w:w="397"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473"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78"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00"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gridAfter w:val="1"/>
          <w:wAfter w:w="300" w:type="pct"/>
          <w:trHeight w:val="1845" w:hRule="atLeast"/>
        </w:trPr>
        <w:tc>
          <w:tcPr>
            <w:tcW w:w="375"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681"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030414001001</w:t>
            </w:r>
          </w:p>
        </w:tc>
        <w:tc>
          <w:tcPr>
            <w:tcW w:w="527"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电力变压器系统</w:t>
            </w:r>
          </w:p>
        </w:tc>
        <w:tc>
          <w:tcPr>
            <w:tcW w:w="1154"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1.名称:组合型成套箱式变电站系统调试</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2.型号:SCB10-10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3.容量(kV．A):变压器容量(kV·A)≤1000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21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系统</w:t>
            </w:r>
          </w:p>
        </w:tc>
        <w:tc>
          <w:tcPr>
            <w:tcW w:w="397"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473"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78"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00"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gridAfter w:val="1"/>
          <w:wAfter w:w="300" w:type="pct"/>
          <w:trHeight w:val="1845" w:hRule="atLeast"/>
        </w:trPr>
        <w:tc>
          <w:tcPr>
            <w:tcW w:w="375"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w:t>
            </w:r>
          </w:p>
        </w:tc>
        <w:tc>
          <w:tcPr>
            <w:tcW w:w="681"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030410003001</w:t>
            </w:r>
          </w:p>
        </w:tc>
        <w:tc>
          <w:tcPr>
            <w:tcW w:w="527"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导线架设</w:t>
            </w:r>
          </w:p>
        </w:tc>
        <w:tc>
          <w:tcPr>
            <w:tcW w:w="1154" w:type="pct"/>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1.名称:架空线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2.型号、规格:JKLYJ-10KV-1*120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3.工作内容:含所有辅材等安装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21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397"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116.37</w:t>
            </w:r>
          </w:p>
        </w:tc>
        <w:tc>
          <w:tcPr>
            <w:tcW w:w="473"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78"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00"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gridAfter w:val="1"/>
          <w:wAfter w:w="300" w:type="pct"/>
          <w:trHeight w:val="360" w:hRule="atLeast"/>
        </w:trPr>
        <w:tc>
          <w:tcPr>
            <w:tcW w:w="3820" w:type="pct"/>
            <w:gridSpan w:val="1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478" w:type="pct"/>
            <w:gridSpan w:val="2"/>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00" w:type="pct"/>
            <w:gridSpan w:val="2"/>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gridAfter w:val="1"/>
          <w:wAfter w:w="300" w:type="pct"/>
          <w:trHeight w:val="345" w:hRule="atLeast"/>
        </w:trPr>
        <w:tc>
          <w:tcPr>
            <w:tcW w:w="4699" w:type="pct"/>
            <w:gridSpan w:val="20"/>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5000" w:type="pct"/>
            <w:gridSpan w:val="2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595" w:hRule="atLeast"/>
        </w:trPr>
        <w:tc>
          <w:tcPr>
            <w:tcW w:w="2354" w:type="pct"/>
            <w:gridSpan w:val="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工程名称：10kV线路及低压线路</w:t>
            </w:r>
          </w:p>
        </w:tc>
        <w:tc>
          <w:tcPr>
            <w:tcW w:w="1425" w:type="pct"/>
            <w:gridSpan w:val="8"/>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219" w:type="pct"/>
            <w:gridSpan w:val="6"/>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2 页  共 5 页</w:t>
            </w:r>
          </w:p>
        </w:tc>
      </w:tr>
      <w:tr>
        <w:tblPrEx>
          <w:shd w:val="clear"/>
          <w:tblCellMar>
            <w:top w:w="0" w:type="dxa"/>
            <w:left w:w="0" w:type="dxa"/>
            <w:bottom w:w="0" w:type="dxa"/>
            <w:right w:w="0" w:type="dxa"/>
          </w:tblCellMar>
        </w:tblPrEx>
        <w:trPr>
          <w:trHeight w:val="360" w:hRule="atLeast"/>
        </w:trPr>
        <w:tc>
          <w:tcPr>
            <w:tcW w:w="414" w:type="pct"/>
            <w:gridSpan w:val="2"/>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590" w:type="pct"/>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579"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1251" w:type="pct"/>
            <w:gridSpan w:val="4"/>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243"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435"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1484" w:type="pct"/>
            <w:gridSpan w:val="8"/>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trHeight w:val="360" w:hRule="atLeast"/>
        </w:trPr>
        <w:tc>
          <w:tcPr>
            <w:tcW w:w="414" w:type="pct"/>
            <w:gridSpan w:val="2"/>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0" w:type="pct"/>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9"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51" w:type="pct"/>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35"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6" w:type="pct"/>
            <w:gridSpan w:val="4"/>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530" w:type="pct"/>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437"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570" w:hRule="atLeast"/>
        </w:trPr>
        <w:tc>
          <w:tcPr>
            <w:tcW w:w="414" w:type="pct"/>
            <w:gridSpan w:val="2"/>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0" w:type="pct"/>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9"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51" w:type="pct"/>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3"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35"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16" w:type="pct"/>
            <w:gridSpan w:val="4"/>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pct"/>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37"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2355" w:hRule="atLeast"/>
        </w:trPr>
        <w:tc>
          <w:tcPr>
            <w:tcW w:w="414" w:type="pct"/>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w:t>
            </w:r>
          </w:p>
        </w:tc>
        <w:tc>
          <w:tcPr>
            <w:tcW w:w="590"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030408001001</w:t>
            </w:r>
          </w:p>
        </w:tc>
        <w:tc>
          <w:tcPr>
            <w:tcW w:w="579"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w:t>
            </w:r>
          </w:p>
        </w:tc>
        <w:tc>
          <w:tcPr>
            <w:tcW w:w="1251"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1.名称:电力电缆（含挂标志牌）</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2.型号、规格:ZR-YJV22-8.7/15-3*95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4.敷设方式、部位:室外排管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243"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435"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27.74</w:t>
            </w:r>
          </w:p>
        </w:tc>
        <w:tc>
          <w:tcPr>
            <w:tcW w:w="516"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3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37"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2355" w:hRule="atLeast"/>
        </w:trPr>
        <w:tc>
          <w:tcPr>
            <w:tcW w:w="414" w:type="pct"/>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590"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030408001002</w:t>
            </w:r>
          </w:p>
        </w:tc>
        <w:tc>
          <w:tcPr>
            <w:tcW w:w="579"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w:t>
            </w:r>
          </w:p>
        </w:tc>
        <w:tc>
          <w:tcPr>
            <w:tcW w:w="1251"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1.名称:电力电缆（含挂标志牌）</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2.型号、规格:ZR-YJV22-8.7/15-3*50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4.敷设方式、部位:室外排管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243"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435"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73.02</w:t>
            </w:r>
          </w:p>
        </w:tc>
        <w:tc>
          <w:tcPr>
            <w:tcW w:w="516"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3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37"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414" w:type="pct"/>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7</w:t>
            </w:r>
          </w:p>
        </w:tc>
        <w:tc>
          <w:tcPr>
            <w:tcW w:w="590"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030408006001</w:t>
            </w:r>
          </w:p>
        </w:tc>
        <w:tc>
          <w:tcPr>
            <w:tcW w:w="579"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电力电缆头</w:t>
            </w:r>
          </w:p>
        </w:tc>
        <w:tc>
          <w:tcPr>
            <w:tcW w:w="1251"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1.名称:户外冷缩式电缆头</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2.型号、规格:3*95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3.材质、类型:铜芯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4.安装部位:室外</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243"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个</w:t>
            </w:r>
          </w:p>
        </w:tc>
        <w:tc>
          <w:tcPr>
            <w:tcW w:w="435"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516"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3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37"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414" w:type="pct"/>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8</w:t>
            </w:r>
          </w:p>
        </w:tc>
        <w:tc>
          <w:tcPr>
            <w:tcW w:w="590"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030408006002</w:t>
            </w:r>
          </w:p>
        </w:tc>
        <w:tc>
          <w:tcPr>
            <w:tcW w:w="579"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电力电缆头</w:t>
            </w:r>
          </w:p>
        </w:tc>
        <w:tc>
          <w:tcPr>
            <w:tcW w:w="1251"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1.名称:户内冷缩式电缆头</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2.型号、规格:3*50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3.材质、类型:铜芯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4.安装部位:室外</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243"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个</w:t>
            </w:r>
          </w:p>
        </w:tc>
        <w:tc>
          <w:tcPr>
            <w:tcW w:w="435"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w:t>
            </w:r>
          </w:p>
        </w:tc>
        <w:tc>
          <w:tcPr>
            <w:tcW w:w="516"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3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37"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414" w:type="pct"/>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9</w:t>
            </w:r>
          </w:p>
        </w:tc>
        <w:tc>
          <w:tcPr>
            <w:tcW w:w="590" w:type="pc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030408010001</w:t>
            </w:r>
          </w:p>
        </w:tc>
        <w:tc>
          <w:tcPr>
            <w:tcW w:w="579"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防火涂料</w:t>
            </w:r>
          </w:p>
        </w:tc>
        <w:tc>
          <w:tcPr>
            <w:tcW w:w="1251"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1.名称:防火堵料</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2.部位:电缆在管群和工作井结合部的孔洞</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243"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kg</w:t>
            </w:r>
          </w:p>
        </w:tc>
        <w:tc>
          <w:tcPr>
            <w:tcW w:w="435"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50</w:t>
            </w:r>
          </w:p>
        </w:tc>
        <w:tc>
          <w:tcPr>
            <w:tcW w:w="516" w:type="pct"/>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30" w:type="pct"/>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37" w:type="pct"/>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4032" w:type="pct"/>
            <w:gridSpan w:val="17"/>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530" w:type="pct"/>
            <w:gridSpan w:val="2"/>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437" w:type="pct"/>
            <w:gridSpan w:val="2"/>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5000" w:type="pct"/>
            <w:gridSpan w:val="2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bl>
    <w:p>
      <w:pPr>
        <w:keepNext w:val="0"/>
        <w:keepLines w:val="0"/>
        <w:pageBreakBefore w:val="0"/>
        <w:widowControl/>
        <w:kinsoku/>
        <w:wordWrap/>
        <w:overflowPunct/>
        <w:topLinePunct w:val="0"/>
        <w:bidi w:val="0"/>
        <w:adjustRightInd/>
        <w:snapToGrid/>
        <w:spacing w:line="480" w:lineRule="auto"/>
        <w:jc w:val="center"/>
        <w:rPr>
          <w:rFonts w:hint="default" w:ascii="宋体" w:hAnsi="宋体" w:eastAsia="宋体" w:cs="宋体"/>
          <w:b/>
          <w:bCs/>
          <w:color w:val="000000"/>
          <w:sz w:val="28"/>
          <w:szCs w:val="28"/>
          <w:lang w:val="en-US" w:eastAsia="zh-CN"/>
        </w:rPr>
      </w:pPr>
    </w:p>
    <w:tbl>
      <w:tblPr>
        <w:tblW w:w="10410" w:type="dxa"/>
        <w:tblInd w:w="0" w:type="dxa"/>
        <w:shd w:val="clear"/>
        <w:tblLayout w:type="autofit"/>
        <w:tblCellMar>
          <w:top w:w="0" w:type="dxa"/>
          <w:left w:w="0" w:type="dxa"/>
          <w:bottom w:w="0" w:type="dxa"/>
          <w:right w:w="0" w:type="dxa"/>
        </w:tblCellMar>
      </w:tblPr>
      <w:tblGrid>
        <w:gridCol w:w="862"/>
        <w:gridCol w:w="1230"/>
        <w:gridCol w:w="1196"/>
        <w:gridCol w:w="1896"/>
        <w:gridCol w:w="690"/>
        <w:gridCol w:w="530"/>
        <w:gridCol w:w="920"/>
        <w:gridCol w:w="556"/>
        <w:gridCol w:w="525"/>
        <w:gridCol w:w="1097"/>
        <w:gridCol w:w="908"/>
      </w:tblGrid>
      <w:tr>
        <w:tblPrEx>
          <w:tblCellMar>
            <w:top w:w="0" w:type="dxa"/>
            <w:left w:w="0" w:type="dxa"/>
            <w:bottom w:w="0" w:type="dxa"/>
            <w:right w:w="0" w:type="dxa"/>
          </w:tblCellMar>
        </w:tblPrEx>
        <w:trPr>
          <w:trHeight w:val="795"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639" w:hRule="atLeast"/>
        </w:trPr>
        <w:tc>
          <w:tcPr>
            <w:tcW w:w="5184"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工程名称：10kV线路及低压线路</w:t>
            </w:r>
          </w:p>
        </w:tc>
        <w:tc>
          <w:tcPr>
            <w:tcW w:w="2696"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30"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3 页  共 5 页</w:t>
            </w:r>
          </w:p>
        </w:tc>
      </w:tr>
      <w:tr>
        <w:tblPrEx>
          <w:shd w:val="clear"/>
          <w:tblCellMar>
            <w:top w:w="0" w:type="dxa"/>
            <w:left w:w="0" w:type="dxa"/>
            <w:bottom w:w="0" w:type="dxa"/>
            <w:right w:w="0" w:type="dxa"/>
          </w:tblCellMar>
        </w:tblPrEx>
        <w:trPr>
          <w:trHeight w:val="360" w:hRule="atLeast"/>
        </w:trPr>
        <w:tc>
          <w:tcPr>
            <w:tcW w:w="862"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8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6"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62"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8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1"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570" w:hRule="atLeast"/>
        </w:trPr>
        <w:tc>
          <w:tcPr>
            <w:tcW w:w="862"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8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1"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1335" w:hRule="atLeast"/>
        </w:trPr>
        <w:tc>
          <w:tcPr>
            <w:tcW w:w="862"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8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1.名称:高压电缆故障寻址仪（含电缆防火封堵器）</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w:t>
            </w:r>
          </w:p>
        </w:tc>
        <w:tc>
          <w:tcPr>
            <w:tcW w:w="9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862"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11</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030414015001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电缆试验</w:t>
            </w:r>
          </w:p>
        </w:tc>
        <w:tc>
          <w:tcPr>
            <w:tcW w:w="258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1.名称:电缆故障点测试</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点</w:t>
            </w:r>
          </w:p>
        </w:tc>
        <w:tc>
          <w:tcPr>
            <w:tcW w:w="9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08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862"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12</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030414002002</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送配电装置系统</w:t>
            </w:r>
          </w:p>
        </w:tc>
        <w:tc>
          <w:tcPr>
            <w:tcW w:w="258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1.名称:送配电装置系统调试</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系统</w:t>
            </w:r>
          </w:p>
        </w:tc>
        <w:tc>
          <w:tcPr>
            <w:tcW w:w="9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08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62"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58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62"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低压线路</w:t>
            </w:r>
          </w:p>
        </w:tc>
        <w:tc>
          <w:tcPr>
            <w:tcW w:w="258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610" w:hRule="atLeast"/>
        </w:trPr>
        <w:tc>
          <w:tcPr>
            <w:tcW w:w="862"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13</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030408001003</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w:t>
            </w:r>
          </w:p>
        </w:tc>
        <w:tc>
          <w:tcPr>
            <w:tcW w:w="258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1.名称:电力电缆</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2.型号、规格:ZR-YJV22-0.6/1.0-4*185+1*95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4.敷设方式、部位:室外排管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325.03</w:t>
            </w:r>
          </w:p>
        </w:tc>
        <w:tc>
          <w:tcPr>
            <w:tcW w:w="108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2610" w:hRule="atLeast"/>
        </w:trPr>
        <w:tc>
          <w:tcPr>
            <w:tcW w:w="862"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14</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030408001004</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w:t>
            </w:r>
          </w:p>
        </w:tc>
        <w:tc>
          <w:tcPr>
            <w:tcW w:w="258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1.名称:电力电缆</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2.型号、规格:ZR-YJV22-0.6/1.0-4*95+1*50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4.敷设方式、部位:室外排管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108.34</w:t>
            </w:r>
          </w:p>
        </w:tc>
        <w:tc>
          <w:tcPr>
            <w:tcW w:w="108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7"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7"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8"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bl>
    <w:p>
      <w:pPr>
        <w:keepNext w:val="0"/>
        <w:keepLines w:val="0"/>
        <w:pageBreakBefore w:val="0"/>
        <w:widowControl/>
        <w:kinsoku/>
        <w:wordWrap/>
        <w:overflowPunct/>
        <w:topLinePunct w:val="0"/>
        <w:bidi w:val="0"/>
        <w:adjustRightInd/>
        <w:snapToGrid/>
        <w:spacing w:line="480" w:lineRule="auto"/>
        <w:jc w:val="center"/>
        <w:rPr>
          <w:rFonts w:hint="default" w:ascii="宋体" w:hAnsi="宋体" w:eastAsia="宋体" w:cs="宋体"/>
          <w:b/>
          <w:bCs/>
          <w:color w:val="000000"/>
          <w:sz w:val="28"/>
          <w:szCs w:val="28"/>
          <w:lang w:val="en-US" w:eastAsia="zh-CN"/>
        </w:rPr>
      </w:pPr>
    </w:p>
    <w:tbl>
      <w:tblPr>
        <w:tblW w:w="10410" w:type="dxa"/>
        <w:tblInd w:w="0" w:type="dxa"/>
        <w:shd w:val="clear"/>
        <w:tblLayout w:type="fixed"/>
        <w:tblCellMar>
          <w:top w:w="0" w:type="dxa"/>
          <w:left w:w="0" w:type="dxa"/>
          <w:bottom w:w="0" w:type="dxa"/>
          <w:right w:w="0" w:type="dxa"/>
        </w:tblCellMar>
      </w:tblPr>
      <w:tblGrid>
        <w:gridCol w:w="761"/>
        <w:gridCol w:w="20"/>
        <w:gridCol w:w="22"/>
        <w:gridCol w:w="26"/>
        <w:gridCol w:w="26"/>
        <w:gridCol w:w="30"/>
        <w:gridCol w:w="1020"/>
        <w:gridCol w:w="180"/>
        <w:gridCol w:w="176"/>
        <w:gridCol w:w="167"/>
        <w:gridCol w:w="168"/>
        <w:gridCol w:w="170"/>
        <w:gridCol w:w="279"/>
        <w:gridCol w:w="90"/>
        <w:gridCol w:w="120"/>
        <w:gridCol w:w="37"/>
        <w:gridCol w:w="156"/>
        <w:gridCol w:w="158"/>
        <w:gridCol w:w="143"/>
        <w:gridCol w:w="134"/>
        <w:gridCol w:w="1212"/>
        <w:gridCol w:w="57"/>
        <w:gridCol w:w="103"/>
        <w:gridCol w:w="204"/>
        <w:gridCol w:w="316"/>
        <w:gridCol w:w="122"/>
        <w:gridCol w:w="103"/>
        <w:gridCol w:w="7"/>
        <w:gridCol w:w="308"/>
        <w:gridCol w:w="13"/>
        <w:gridCol w:w="99"/>
        <w:gridCol w:w="101"/>
        <w:gridCol w:w="101"/>
        <w:gridCol w:w="95"/>
        <w:gridCol w:w="86"/>
        <w:gridCol w:w="435"/>
        <w:gridCol w:w="96"/>
        <w:gridCol w:w="90"/>
        <w:gridCol w:w="92"/>
        <w:gridCol w:w="87"/>
        <w:gridCol w:w="78"/>
        <w:gridCol w:w="127"/>
        <w:gridCol w:w="86"/>
        <w:gridCol w:w="76"/>
        <w:gridCol w:w="203"/>
        <w:gridCol w:w="175"/>
        <w:gridCol w:w="65"/>
        <w:gridCol w:w="59"/>
        <w:gridCol w:w="58"/>
        <w:gridCol w:w="51"/>
        <w:gridCol w:w="176"/>
        <w:gridCol w:w="716"/>
        <w:gridCol w:w="24"/>
        <w:gridCol w:w="23"/>
        <w:gridCol w:w="23"/>
        <w:gridCol w:w="19"/>
        <w:gridCol w:w="20"/>
        <w:gridCol w:w="821"/>
      </w:tblGrid>
      <w:tr>
        <w:tblPrEx>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537" w:hRule="atLeast"/>
        </w:trPr>
        <w:tc>
          <w:tcPr>
            <w:tcW w:w="5459" w:type="dxa"/>
            <w:gridSpan w:val="2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工程名称：10kV线路及低压线路</w:t>
            </w:r>
          </w:p>
        </w:tc>
        <w:tc>
          <w:tcPr>
            <w:tcW w:w="2721" w:type="dxa"/>
            <w:gridSpan w:val="21"/>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230" w:type="dxa"/>
            <w:gridSpan w:val="1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4 页  共 5 页</w:t>
            </w:r>
          </w:p>
        </w:tc>
      </w:tr>
      <w:tr>
        <w:tblPrEx>
          <w:shd w:val="clear"/>
          <w:tblCellMar>
            <w:top w:w="0" w:type="dxa"/>
            <w:left w:w="0" w:type="dxa"/>
            <w:bottom w:w="0" w:type="dxa"/>
            <w:right w:w="0" w:type="dxa"/>
          </w:tblCellMar>
        </w:tblPrEx>
        <w:trPr>
          <w:trHeight w:val="360" w:hRule="atLeast"/>
        </w:trPr>
        <w:tc>
          <w:tcPr>
            <w:tcW w:w="761"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2005" w:type="dxa"/>
            <w:gridSpan w:val="11"/>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17" w:type="dxa"/>
            <w:gridSpan w:val="8"/>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445" w:type="dxa"/>
            <w:gridSpan w:val="10"/>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482" w:type="dxa"/>
            <w:gridSpan w:val="5"/>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878"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2722" w:type="dxa"/>
            <w:gridSpan w:val="17"/>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trHeight w:val="360" w:hRule="atLeast"/>
        </w:trPr>
        <w:tc>
          <w:tcPr>
            <w:tcW w:w="761"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05"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7"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45" w:type="dxa"/>
            <w:gridSpan w:val="10"/>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82" w:type="dxa"/>
            <w:gridSpan w:val="5"/>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76" w:type="dxa"/>
            <w:gridSpan w:val="10"/>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825" w:type="dxa"/>
            <w:gridSpan w:val="6"/>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570" w:hRule="atLeast"/>
        </w:trPr>
        <w:tc>
          <w:tcPr>
            <w:tcW w:w="761"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05"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7"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445" w:type="dxa"/>
            <w:gridSpan w:val="10"/>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82" w:type="dxa"/>
            <w:gridSpan w:val="5"/>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8"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76" w:type="dxa"/>
            <w:gridSpan w:val="10"/>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25" w:type="dxa"/>
            <w:gridSpan w:val="6"/>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2006" w:hRule="atLeast"/>
        </w:trPr>
        <w:tc>
          <w:tcPr>
            <w:tcW w:w="761"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15</w:t>
            </w:r>
          </w:p>
        </w:tc>
        <w:tc>
          <w:tcPr>
            <w:tcW w:w="2005"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030408001005</w:t>
            </w:r>
          </w:p>
        </w:tc>
        <w:tc>
          <w:tcPr>
            <w:tcW w:w="111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w:t>
            </w:r>
          </w:p>
        </w:tc>
        <w:tc>
          <w:tcPr>
            <w:tcW w:w="244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1.名称:电力电缆</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2.型号、规格:ZR-YJV22-0.6/1.0-4*35+1*16</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4.敷设方式、部位:室外排管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48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87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108.34</w:t>
            </w:r>
          </w:p>
        </w:tc>
        <w:tc>
          <w:tcPr>
            <w:tcW w:w="1076"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761"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16</w:t>
            </w:r>
          </w:p>
        </w:tc>
        <w:tc>
          <w:tcPr>
            <w:tcW w:w="2005"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030408006003</w:t>
            </w:r>
          </w:p>
        </w:tc>
        <w:tc>
          <w:tcPr>
            <w:tcW w:w="111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电力电缆头</w:t>
            </w:r>
          </w:p>
        </w:tc>
        <w:tc>
          <w:tcPr>
            <w:tcW w:w="244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1.名称:电力电缆终端头</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2.型号、规格:4*185+1*95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3.材质、类型:铜芯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4.安装部位:室外</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48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个</w:t>
            </w:r>
          </w:p>
        </w:tc>
        <w:tc>
          <w:tcPr>
            <w:tcW w:w="87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76"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761"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17</w:t>
            </w:r>
          </w:p>
        </w:tc>
        <w:tc>
          <w:tcPr>
            <w:tcW w:w="2005"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030408006004</w:t>
            </w:r>
          </w:p>
        </w:tc>
        <w:tc>
          <w:tcPr>
            <w:tcW w:w="111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电力电缆头</w:t>
            </w:r>
          </w:p>
        </w:tc>
        <w:tc>
          <w:tcPr>
            <w:tcW w:w="244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1.名称:电力电缆终端头</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2.型号、规格:4*95+1*50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3.材质、类型:铜芯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4.安装部位:室外</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48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个</w:t>
            </w:r>
          </w:p>
        </w:tc>
        <w:tc>
          <w:tcPr>
            <w:tcW w:w="87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1076"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PrEx>
        <w:trPr>
          <w:trHeight w:val="1845" w:hRule="atLeast"/>
        </w:trPr>
        <w:tc>
          <w:tcPr>
            <w:tcW w:w="761"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18</w:t>
            </w:r>
          </w:p>
        </w:tc>
        <w:tc>
          <w:tcPr>
            <w:tcW w:w="2005"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030408006005</w:t>
            </w:r>
          </w:p>
        </w:tc>
        <w:tc>
          <w:tcPr>
            <w:tcW w:w="111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电力电缆头</w:t>
            </w:r>
          </w:p>
        </w:tc>
        <w:tc>
          <w:tcPr>
            <w:tcW w:w="244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1.名称:电力电缆终端头</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2.型号、规格:4*35+1*16</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3.材质、类型:铜芯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4.安装部位:室外</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48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个</w:t>
            </w:r>
          </w:p>
        </w:tc>
        <w:tc>
          <w:tcPr>
            <w:tcW w:w="87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1076"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761"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19</w:t>
            </w:r>
          </w:p>
        </w:tc>
        <w:tc>
          <w:tcPr>
            <w:tcW w:w="2005"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030414002001</w:t>
            </w:r>
          </w:p>
        </w:tc>
        <w:tc>
          <w:tcPr>
            <w:tcW w:w="111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送配电装置系统</w:t>
            </w:r>
          </w:p>
        </w:tc>
        <w:tc>
          <w:tcPr>
            <w:tcW w:w="244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1.名称:送配电装置系统调试</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2.电压等级(kV):1kv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48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系统</w:t>
            </w:r>
          </w:p>
        </w:tc>
        <w:tc>
          <w:tcPr>
            <w:tcW w:w="87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w:t>
            </w:r>
          </w:p>
        </w:tc>
        <w:tc>
          <w:tcPr>
            <w:tcW w:w="1076"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761"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05"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1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44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8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7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76"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761"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05"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1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措施项目</w:t>
            </w:r>
          </w:p>
        </w:tc>
        <w:tc>
          <w:tcPr>
            <w:tcW w:w="244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8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7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76"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761"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05"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1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44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8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7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76"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5459" w:type="dxa"/>
            <w:gridSpan w:val="24"/>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4130" w:type="dxa"/>
            <w:gridSpan w:val="33"/>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21"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537" w:hRule="atLeast"/>
        </w:trPr>
        <w:tc>
          <w:tcPr>
            <w:tcW w:w="5255" w:type="dxa"/>
            <w:gridSpan w:val="2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工程名称：10kV线路及低压线路</w:t>
            </w:r>
          </w:p>
        </w:tc>
        <w:tc>
          <w:tcPr>
            <w:tcW w:w="3333" w:type="dxa"/>
            <w:gridSpan w:val="2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822" w:type="dxa"/>
            <w:gridSpan w:val="8"/>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5 页  共 5 页</w:t>
            </w:r>
          </w:p>
        </w:tc>
      </w:tr>
      <w:tr>
        <w:tblPrEx>
          <w:tblCellMar>
            <w:top w:w="0" w:type="dxa"/>
            <w:left w:w="0" w:type="dxa"/>
            <w:bottom w:w="0" w:type="dxa"/>
            <w:right w:w="0" w:type="dxa"/>
          </w:tblCellMar>
        </w:tblPrEx>
        <w:trPr>
          <w:trHeight w:val="360" w:hRule="atLeast"/>
        </w:trPr>
        <w:tc>
          <w:tcPr>
            <w:tcW w:w="8588" w:type="dxa"/>
            <w:gridSpan w:val="50"/>
            <w:tcBorders>
              <w:top w:val="single" w:color="000000" w:sz="8"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   计</w:t>
            </w:r>
          </w:p>
        </w:tc>
        <w:tc>
          <w:tcPr>
            <w:tcW w:w="981" w:type="dxa"/>
            <w:gridSpan w:val="6"/>
            <w:tcBorders>
              <w:top w:val="single" w:color="000000" w:sz="8"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8"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316" w:hRule="atLeast"/>
        </w:trPr>
        <w:tc>
          <w:tcPr>
            <w:tcW w:w="3255" w:type="dxa"/>
            <w:gridSpan w:val="15"/>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工程名称：电缆井及箱变基础</w:t>
            </w:r>
          </w:p>
        </w:tc>
        <w:tc>
          <w:tcPr>
            <w:tcW w:w="5333" w:type="dxa"/>
            <w:gridSpan w:val="35"/>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ind w:firstLine="600" w:firstLineChars="30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822" w:type="dxa"/>
            <w:gridSpan w:val="8"/>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1 页  共 7 页</w:t>
            </w:r>
          </w:p>
        </w:tc>
      </w:tr>
      <w:tr>
        <w:tblPrEx>
          <w:shd w:val="clear"/>
          <w:tblCellMar>
            <w:top w:w="0" w:type="dxa"/>
            <w:left w:w="0" w:type="dxa"/>
            <w:bottom w:w="0" w:type="dxa"/>
            <w:right w:w="0" w:type="dxa"/>
          </w:tblCellMar>
        </w:tblPrEx>
        <w:trPr>
          <w:trHeight w:val="360" w:hRule="atLeast"/>
        </w:trPr>
        <w:tc>
          <w:tcPr>
            <w:tcW w:w="781" w:type="dxa"/>
            <w:gridSpan w:val="2"/>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815" w:type="dxa"/>
            <w:gridSpan w:val="9"/>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53" w:type="dxa"/>
            <w:gridSpan w:val="8"/>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134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1629" w:type="dxa"/>
            <w:gridSpan w:val="13"/>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886"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2800" w:type="dxa"/>
            <w:gridSpan w:val="18"/>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781" w:type="dxa"/>
            <w:gridSpan w:val="2"/>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15" w:type="dxa"/>
            <w:gridSpan w:val="9"/>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53"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4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9" w:type="dxa"/>
            <w:gridSpan w:val="1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6"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78" w:type="dxa"/>
            <w:gridSpan w:val="10"/>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981" w:type="dxa"/>
            <w:gridSpan w:val="6"/>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360" w:hRule="atLeast"/>
        </w:trPr>
        <w:tc>
          <w:tcPr>
            <w:tcW w:w="781" w:type="dxa"/>
            <w:gridSpan w:val="2"/>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15" w:type="dxa"/>
            <w:gridSpan w:val="9"/>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53"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4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9" w:type="dxa"/>
            <w:gridSpan w:val="1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6"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78" w:type="dxa"/>
            <w:gridSpan w:val="10"/>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81" w:type="dxa"/>
            <w:gridSpan w:val="6"/>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57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箱变基础（2座）</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335"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010101004001</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挖基坑土方</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1.土壤类别:投标单位自行考虑</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2.挖土深度:2M以内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88.13</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010103001001</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回填方</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1.名称：原土回填</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2.密实度要求:夯实</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44.67</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010103002001</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余方弃置</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1.废弃料品种:余土弃置</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2.运距:暂按10km考虑</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43.46</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010401001001</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砖基础</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1.砖品种、规格、强度等级:MU10蒸压灰砂砖</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2.基础类型:砖基础</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3.砂浆强度等级:M5水泥砂浆</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10.02</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7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010501002001</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带形基础</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1.混凝土种类:商品砼</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2.混凝土强度等级:C20</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5.47</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010503004001</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圈梁</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1.混凝土种类:商品混凝土</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3.65</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7</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010505002003</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砼底板</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1.混凝土种类:商品混凝土</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2.混凝土强度等级:C15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2.02</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8</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010515002001</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现浇构件钢筋</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1.钢筋种类、规格:HRB40012mm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t</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0.162</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781"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9</w:t>
            </w:r>
          </w:p>
        </w:tc>
        <w:tc>
          <w:tcPr>
            <w:tcW w:w="1815" w:type="dxa"/>
            <w:gridSpan w:val="9"/>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010515001001</w:t>
            </w:r>
          </w:p>
        </w:tc>
        <w:tc>
          <w:tcPr>
            <w:tcW w:w="1153"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现浇构件钢筋</w:t>
            </w:r>
          </w:p>
        </w:tc>
        <w:tc>
          <w:tcPr>
            <w:tcW w:w="134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1.钢筋种类、规格:HPB300 8mm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1629" w:type="dxa"/>
            <w:gridSpan w:val="1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t</w:t>
            </w:r>
          </w:p>
        </w:tc>
        <w:tc>
          <w:tcPr>
            <w:tcW w:w="886"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0.088</w:t>
            </w:r>
          </w:p>
        </w:tc>
        <w:tc>
          <w:tcPr>
            <w:tcW w:w="97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588" w:type="dxa"/>
            <w:gridSpan w:val="50"/>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981" w:type="dxa"/>
            <w:gridSpan w:val="6"/>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41" w:type="dxa"/>
            <w:gridSpan w:val="2"/>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345" w:hRule="atLeast"/>
        </w:trPr>
        <w:tc>
          <w:tcPr>
            <w:tcW w:w="3045" w:type="dxa"/>
            <w:gridSpan w:val="1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工程名称：电缆井及箱变基础</w:t>
            </w:r>
          </w:p>
        </w:tc>
        <w:tc>
          <w:tcPr>
            <w:tcW w:w="5543" w:type="dxa"/>
            <w:gridSpan w:val="3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ind w:firstLine="600" w:firstLineChars="30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822" w:type="dxa"/>
            <w:gridSpan w:val="8"/>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2 页  共 7 页</w:t>
            </w:r>
          </w:p>
        </w:tc>
      </w:tr>
      <w:tr>
        <w:tblPrEx>
          <w:tblCellMar>
            <w:top w:w="0" w:type="dxa"/>
            <w:left w:w="0" w:type="dxa"/>
            <w:bottom w:w="0" w:type="dxa"/>
            <w:right w:w="0" w:type="dxa"/>
          </w:tblCellMar>
        </w:tblPrEx>
        <w:trPr>
          <w:trHeight w:val="360" w:hRule="atLeast"/>
        </w:trPr>
        <w:tc>
          <w:tcPr>
            <w:tcW w:w="803" w:type="dxa"/>
            <w:gridSpan w:val="3"/>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625" w:type="dxa"/>
            <w:gridSpan w:val="7"/>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78" w:type="dxa"/>
            <w:gridSpan w:val="8"/>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1546"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1477" w:type="dxa"/>
            <w:gridSpan w:val="11"/>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894"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2887" w:type="dxa"/>
            <w:gridSpan w:val="19"/>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03" w:type="dxa"/>
            <w:gridSpan w:val="3"/>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5"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78"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4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77"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94"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14" w:type="dxa"/>
            <w:gridSpan w:val="10"/>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13" w:type="dxa"/>
            <w:gridSpan w:val="6"/>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03" w:type="dxa"/>
            <w:gridSpan w:val="3"/>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5"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78"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46"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77"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94"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14" w:type="dxa"/>
            <w:gridSpan w:val="10"/>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13" w:type="dxa"/>
            <w:gridSpan w:val="6"/>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1080"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w:t>
            </w: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011101001001</w:t>
            </w: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水泥砂浆楼地面</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1.找平层厚度、砂浆配合比:20厚1:2水泥砂浆抹面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2.100厚C15素混凝土</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3.素土夯实</w:t>
            </w: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20.23</w:t>
            </w: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825"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11</w:t>
            </w: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011201001001</w:t>
            </w: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墙面一般抹灰</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1.墙体类型:砖墙</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2.底层厚度、砂浆配合比:20厚1:2水泥砂浆</w:t>
            </w: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44.58</w:t>
            </w: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12</w:t>
            </w: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010606009001</w:t>
            </w: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钢护栏</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1.钢材品种、规格:铝合金和钢丝网</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w:t>
            </w: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825"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13</w:t>
            </w: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010606013001</w:t>
            </w: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10槽钢</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1.钢材品种、规格:10#槽钢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31.52</w:t>
            </w: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14</w:t>
            </w: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011702027001</w:t>
            </w: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台阶</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1.台阶踏步宽:300mm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2.具体做法：台阶做法参考图集15ZJ001（建筑构造用料做法）第141页</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3.满足图纸设计及施工规范要求</w:t>
            </w: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w:t>
            </w: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335"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15</w:t>
            </w: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030409002001</w:t>
            </w: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接地母线</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1.名称:基础接地</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2.材质:扁钢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3.规格:-50*5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66.36</w:t>
            </w: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16</w:t>
            </w: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030409001001</w:t>
            </w: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接地极</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 xml:space="preserve">1.名称:接地棒 </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2.材质:镀铜钢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3.规格:长度2.44m,直径1.42cm,预制式</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根</w:t>
            </w: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8</w:t>
            </w: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570"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2.0*1.5电缆井（7座）</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803" w:type="dxa"/>
            <w:gridSpan w:val="3"/>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17</w:t>
            </w:r>
          </w:p>
        </w:tc>
        <w:tc>
          <w:tcPr>
            <w:tcW w:w="1625"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010101004004</w:t>
            </w:r>
          </w:p>
        </w:tc>
        <w:tc>
          <w:tcPr>
            <w:tcW w:w="1178"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挖基坑土方</w:t>
            </w:r>
          </w:p>
        </w:tc>
        <w:tc>
          <w:tcPr>
            <w:tcW w:w="154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1.土壤类别:投标单位自行考虑</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2.挖土深度:2M以内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1477"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89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106.71</w:t>
            </w:r>
          </w:p>
        </w:tc>
        <w:tc>
          <w:tcPr>
            <w:tcW w:w="1014"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1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537" w:type="dxa"/>
            <w:gridSpan w:val="4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13" w:type="dxa"/>
            <w:gridSpan w:val="6"/>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60" w:type="dxa"/>
            <w:gridSpan w:val="3"/>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478" w:hRule="atLeast"/>
        </w:trPr>
        <w:tc>
          <w:tcPr>
            <w:tcW w:w="5095" w:type="dxa"/>
            <w:gridSpan w:val="21"/>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工程名称：电缆井及箱变基础</w:t>
            </w:r>
          </w:p>
        </w:tc>
        <w:tc>
          <w:tcPr>
            <w:tcW w:w="2882" w:type="dxa"/>
            <w:gridSpan w:val="2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433" w:type="dxa"/>
            <w:gridSpan w:val="1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3 页  共 7 页</w:t>
            </w:r>
          </w:p>
        </w:tc>
      </w:tr>
      <w:tr>
        <w:tblPrEx>
          <w:tblCellMar>
            <w:top w:w="0" w:type="dxa"/>
            <w:left w:w="0" w:type="dxa"/>
            <w:bottom w:w="0" w:type="dxa"/>
            <w:right w:w="0" w:type="dxa"/>
          </w:tblCellMar>
        </w:tblPrEx>
        <w:trPr>
          <w:trHeight w:val="360" w:hRule="atLeast"/>
        </w:trPr>
        <w:tc>
          <w:tcPr>
            <w:tcW w:w="829" w:type="dxa"/>
            <w:gridSpan w:val="4"/>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432" w:type="dxa"/>
            <w:gridSpan w:val="5"/>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87" w:type="dxa"/>
            <w:gridSpan w:val="8"/>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59" w:type="dxa"/>
            <w:gridSpan w:val="11"/>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21"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03"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2979" w:type="dxa"/>
            <w:gridSpan w:val="20"/>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29" w:type="dxa"/>
            <w:gridSpan w:val="4"/>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32" w:type="dxa"/>
            <w:gridSpan w:val="5"/>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87"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59"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1"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3"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48" w:type="dxa"/>
            <w:gridSpan w:val="10"/>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48" w:type="dxa"/>
            <w:gridSpan w:val="6"/>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29" w:type="dxa"/>
            <w:gridSpan w:val="4"/>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32" w:type="dxa"/>
            <w:gridSpan w:val="5"/>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87"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59"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1"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3"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48" w:type="dxa"/>
            <w:gridSpan w:val="10"/>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48" w:type="dxa"/>
            <w:gridSpan w:val="6"/>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1080"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18</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010103001002</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回填方</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1.名称：原土回填</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2.密实度要求:夯实</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58.59</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19</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010103002004</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余方弃置</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1.废弃料品种:余土弃置</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2.运距:暂按10km考虑</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48.12</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010401001002</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砖基础</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1.砖品种、规格、强度等级:MU15灰砂砖</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2.基础类型:砖基础</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3.砂浆强度等级:M7.5水泥砂浆</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12.3</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25"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010501001002</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垫层</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1.名称:碎石垫层</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3.27</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010505002001</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砼底板</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1.混凝土种类:商品混凝土</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2.混凝土强度等级:C15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6.13</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23</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080401004001</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压顶</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1.混凝土种类:商品混凝土</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2.混凝土强度等级:C25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26.88</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24</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010512008001</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盖板</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1.单件体积:1730*555*200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2.混凝土强度等级:C25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26.88</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25</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030413001001</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铁构件</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1.名称:电缆支架</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2.材质:角钢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3.规格:L50*5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kg</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43.54</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829" w:type="dxa"/>
            <w:gridSpan w:val="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w:t>
            </w:r>
          </w:p>
        </w:tc>
        <w:tc>
          <w:tcPr>
            <w:tcW w:w="1432"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010515001003</w:t>
            </w:r>
          </w:p>
        </w:tc>
        <w:tc>
          <w:tcPr>
            <w:tcW w:w="118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现浇构件钢筋</w:t>
            </w:r>
          </w:p>
        </w:tc>
        <w:tc>
          <w:tcPr>
            <w:tcW w:w="2559"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1.钢筋种类、规格:HPB300 8mm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521"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t</w:t>
            </w:r>
          </w:p>
        </w:tc>
        <w:tc>
          <w:tcPr>
            <w:tcW w:w="903"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0.175</w:t>
            </w:r>
          </w:p>
        </w:tc>
        <w:tc>
          <w:tcPr>
            <w:tcW w:w="1048"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48"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79" w:type="dxa"/>
            <w:gridSpan w:val="48"/>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48" w:type="dxa"/>
            <w:gridSpan w:val="6"/>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83" w:type="dxa"/>
            <w:gridSpan w:val="4"/>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kern w:val="0"/>
                <w:sz w:val="18"/>
                <w:szCs w:val="18"/>
                <w:u w:val="none"/>
                <w:bdr w:val="none" w:color="auto" w:sz="0" w:space="0"/>
                <w:lang w:val="en-US" w:eastAsia="zh-CN" w:bidi="ar"/>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p>
            <w:pPr>
              <w:keepNext w:val="0"/>
              <w:keepLines w:val="0"/>
              <w:widowControl/>
              <w:suppressLineNumbers w:val="0"/>
              <w:jc w:val="left"/>
              <w:textAlignment w:val="top"/>
              <w:rPr>
                <w:rFonts w:hint="eastAsia" w:ascii="宋体" w:hAnsi="宋体" w:eastAsia="宋体" w:cs="宋体"/>
                <w:i w:val="0"/>
                <w:color w:val="000000"/>
                <w:kern w:val="0"/>
                <w:sz w:val="18"/>
                <w:szCs w:val="18"/>
                <w:u w:val="none"/>
                <w:bdr w:val="none" w:color="auto" w:sz="0" w:space="0"/>
                <w:lang w:val="en-US" w:eastAsia="zh-CN" w:bidi="ar"/>
              </w:rPr>
            </w:pPr>
          </w:p>
        </w:tc>
      </w:tr>
      <w:tr>
        <w:tblPrEx>
          <w:shd w:val="clear"/>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536" w:hRule="atLeast"/>
        </w:trPr>
        <w:tc>
          <w:tcPr>
            <w:tcW w:w="5152" w:type="dxa"/>
            <w:gridSpan w:val="22"/>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工程名称：电缆井及箱变基础</w:t>
            </w:r>
          </w:p>
        </w:tc>
        <w:tc>
          <w:tcPr>
            <w:tcW w:w="2749" w:type="dxa"/>
            <w:gridSpan w:val="21"/>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09" w:type="dxa"/>
            <w:gridSpan w:val="15"/>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4 页  共 7 页</w:t>
            </w:r>
          </w:p>
        </w:tc>
      </w:tr>
      <w:tr>
        <w:tblPrEx>
          <w:shd w:val="clear"/>
          <w:tblCellMar>
            <w:top w:w="0" w:type="dxa"/>
            <w:left w:w="0" w:type="dxa"/>
            <w:bottom w:w="0" w:type="dxa"/>
            <w:right w:w="0" w:type="dxa"/>
          </w:tblCellMar>
        </w:tblPrEx>
        <w:trPr>
          <w:trHeight w:val="360" w:hRule="atLeast"/>
        </w:trPr>
        <w:tc>
          <w:tcPr>
            <w:tcW w:w="855" w:type="dxa"/>
            <w:gridSpan w:val="5"/>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207" w:type="dxa"/>
            <w:gridSpan w:val="8"/>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605" w:type="dxa"/>
            <w:gridSpan w:val="10"/>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gridSpan w:val="5"/>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4" w:type="dxa"/>
            <w:gridSpan w:val="6"/>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69" w:type="dxa"/>
            <w:gridSpan w:val="21"/>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trHeight w:val="360" w:hRule="atLeast"/>
        </w:trPr>
        <w:tc>
          <w:tcPr>
            <w:tcW w:w="855" w:type="dxa"/>
            <w:gridSpan w:val="5"/>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07"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05" w:type="dxa"/>
            <w:gridSpan w:val="10"/>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gridSpan w:val="5"/>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4"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79" w:type="dxa"/>
            <w:gridSpan w:val="10"/>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84" w:type="dxa"/>
            <w:gridSpan w:val="6"/>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55" w:type="dxa"/>
            <w:gridSpan w:val="5"/>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07" w:type="dxa"/>
            <w:gridSpan w:val="8"/>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05" w:type="dxa"/>
            <w:gridSpan w:val="10"/>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gridSpan w:val="5"/>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4" w:type="dxa"/>
            <w:gridSpan w:val="6"/>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79" w:type="dxa"/>
            <w:gridSpan w:val="10"/>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4" w:type="dxa"/>
            <w:gridSpan w:val="6"/>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1080"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27</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010515001002</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现浇构件钢筋</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1.钢筋种类、规格:HRB40012mm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t</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0.385</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70"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28</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011101001002</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水泥砂浆楼地面</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1.找平层厚度、砂浆配合比:20厚1:2水泥砂浆抹面</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25"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29</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011201001002</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墙面一般抹灰</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1.墙体类型:砖墙</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2.底层厚度、砂浆配合比:20厚1:2水泥砂浆</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60.76</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570"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3.0*1.5电缆井（3座）</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30</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010101004005</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挖基坑土方</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1.土壤类别:投标单位自行考虑</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2.挖土深度:2M以内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69.29</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31</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010103001003</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回填方</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1.名称：原土回填</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2.密实度要求:夯实</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42.79</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32</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010103002005</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余方弃置</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1.废弃料品种:余土弃置</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2.运距:暂按10km考虑</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26.5</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33</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010401001003</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砖基础</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1.砖品种、规格、强度等级:MU15灰砂砖</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2.基础类型:砖基础</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3.砂浆强度等级:M7.5水泥砂浆</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9.18</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25"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34</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010501001003</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垫层</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1.名称:碎石垫层</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1.93</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855" w:type="dxa"/>
            <w:gridSpan w:val="5"/>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35</w:t>
            </w:r>
          </w:p>
        </w:tc>
        <w:tc>
          <w:tcPr>
            <w:tcW w:w="1230"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010505002002</w:t>
            </w:r>
          </w:p>
        </w:tc>
        <w:tc>
          <w:tcPr>
            <w:tcW w:w="1207" w:type="dxa"/>
            <w:gridSpan w:val="8"/>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砼底板</w:t>
            </w:r>
          </w:p>
        </w:tc>
        <w:tc>
          <w:tcPr>
            <w:tcW w:w="2605"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1.混凝土种类:商品混凝土</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2.混凝土强度等级:C15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gridSpan w:val="5"/>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1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3.61</w:t>
            </w:r>
          </w:p>
        </w:tc>
        <w:tc>
          <w:tcPr>
            <w:tcW w:w="1079"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4"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20" w:type="dxa"/>
            <w:gridSpan w:val="47"/>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84" w:type="dxa"/>
            <w:gridSpan w:val="6"/>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6" w:type="dxa"/>
            <w:gridSpan w:val="5"/>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698" w:hRule="atLeast"/>
        </w:trPr>
        <w:tc>
          <w:tcPr>
            <w:tcW w:w="6000" w:type="dxa"/>
            <w:gridSpan w:val="2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工程名称：电缆井及箱变基础</w:t>
            </w:r>
          </w:p>
        </w:tc>
        <w:tc>
          <w:tcPr>
            <w:tcW w:w="2764" w:type="dxa"/>
            <w:gridSpan w:val="2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646" w:type="dxa"/>
            <w:gridSpan w:val="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5 页  共 7 页</w:t>
            </w:r>
          </w:p>
        </w:tc>
      </w:tr>
      <w:tr>
        <w:tblPrEx>
          <w:tblCellMar>
            <w:top w:w="0" w:type="dxa"/>
            <w:left w:w="0" w:type="dxa"/>
            <w:bottom w:w="0" w:type="dxa"/>
            <w:right w:w="0" w:type="dxa"/>
          </w:tblCellMar>
        </w:tblPrEx>
        <w:trPr>
          <w:trHeight w:val="360" w:hRule="atLeast"/>
        </w:trPr>
        <w:tc>
          <w:tcPr>
            <w:tcW w:w="885" w:type="dxa"/>
            <w:gridSpan w:val="6"/>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230" w:type="dxa"/>
            <w:gridSpan w:val="7"/>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640" w:type="dxa"/>
            <w:gridSpan w:val="11"/>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40"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30" w:type="dxa"/>
            <w:gridSpan w:val="7"/>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165" w:type="dxa"/>
            <w:gridSpan w:val="22"/>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trHeight w:val="360" w:hRule="atLeast"/>
        </w:trPr>
        <w:tc>
          <w:tcPr>
            <w:tcW w:w="885" w:type="dxa"/>
            <w:gridSpan w:val="6"/>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40"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10"/>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125" w:type="dxa"/>
            <w:gridSpan w:val="6"/>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85" w:type="dxa"/>
            <w:gridSpan w:val="6"/>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40"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10"/>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gridSpan w:val="6"/>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108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36</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080401004002</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压顶</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1.混凝土种类:商品混凝土</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2.混凝土强度等级:C25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18.75</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PrEx>
        <w:trPr>
          <w:trHeight w:val="108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37</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010512008002</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盖板</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1.单件体积:1730*555*200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2.混凝土强度等级:C25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17.28</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38</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030413001002</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铁构件</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1.名称:电缆支架</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2.材质:角钢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3.规格:L50*5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kg</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18.66</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08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39</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010515001004</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现浇构件钢筋</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1.钢筋种类、规格:HPB300 8mm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t</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0.093</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40</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010515001005</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现浇构件钢筋</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1.钢筋种类、规格:HRB40012mm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2.其他：满足图纸设计及施工规范要求</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t</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0.201</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57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41</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011101001003</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水泥砂浆楼地面</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1.找平层厚度、砂浆配合比:20厚1:2水泥砂浆抹面</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13.5</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825"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42</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011201001003</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墙面一般抹灰</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1.墙体类型:砖墙</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2.底层厚度、砂浆配合比:20厚1:2水泥砂浆</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33.48</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措施项目</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43</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011702001001</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基础(箱变基础)</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1.模板制作、安装、拆除、整理堆放及场内外运输</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2.清理模板粘结物及模内杂物、刷隔离剂等</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3.模板及支撑材质、堵眼增加费等由投标人综合考虑</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18.24</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355" w:type="dxa"/>
            <w:gridSpan w:val="4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125" w:type="dxa"/>
            <w:gridSpan w:val="6"/>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537" w:hRule="atLeast"/>
        </w:trPr>
        <w:tc>
          <w:tcPr>
            <w:tcW w:w="6000" w:type="dxa"/>
            <w:gridSpan w:val="2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工程名称：电缆井及箱变基础</w:t>
            </w:r>
          </w:p>
        </w:tc>
        <w:tc>
          <w:tcPr>
            <w:tcW w:w="2764" w:type="dxa"/>
            <w:gridSpan w:val="2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646" w:type="dxa"/>
            <w:gridSpan w:val="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6 页  共 7 页</w:t>
            </w:r>
          </w:p>
        </w:tc>
      </w:tr>
      <w:tr>
        <w:tblPrEx>
          <w:shd w:val="clear"/>
          <w:tblCellMar>
            <w:top w:w="0" w:type="dxa"/>
            <w:left w:w="0" w:type="dxa"/>
            <w:bottom w:w="0" w:type="dxa"/>
            <w:right w:w="0" w:type="dxa"/>
          </w:tblCellMar>
        </w:tblPrEx>
        <w:trPr>
          <w:trHeight w:val="360" w:hRule="atLeast"/>
        </w:trPr>
        <w:tc>
          <w:tcPr>
            <w:tcW w:w="885" w:type="dxa"/>
            <w:gridSpan w:val="6"/>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230" w:type="dxa"/>
            <w:gridSpan w:val="7"/>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640" w:type="dxa"/>
            <w:gridSpan w:val="11"/>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40"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30" w:type="dxa"/>
            <w:gridSpan w:val="7"/>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165" w:type="dxa"/>
            <w:gridSpan w:val="22"/>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trHeight w:val="360" w:hRule="atLeast"/>
        </w:trPr>
        <w:tc>
          <w:tcPr>
            <w:tcW w:w="885" w:type="dxa"/>
            <w:gridSpan w:val="6"/>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40"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10"/>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125" w:type="dxa"/>
            <w:gridSpan w:val="6"/>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85" w:type="dxa"/>
            <w:gridSpan w:val="6"/>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40"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10"/>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gridSpan w:val="6"/>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159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44</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011702008001</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圈梁(箱变基础)</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1.模板制作、安装、拆除、整理堆放及场内外运输</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2.清理模板粘结物及模内杂物、刷隔离剂等</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3.模板及支撑材质、堵眼增加费等由投标人综合考虑</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30.4</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45</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011702001002</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基础(2.0*1.5电缆井)</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1.模板制作、安装、拆除、整理堆放及场内外运输</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2.清理模板粘结物及模内杂物、刷隔离剂等</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3.模板及支撑材质、堵眼增加费等由投标人综合考虑</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9.31</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46</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011702025002</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其他现浇构件...压顶(2.0*1.5电缆井)</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1.模板制作、安装、拆除、整理堆放及场内外运输</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2.清理模板粘结物及模内杂物、刷隔离剂等</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3.模板及支撑材质、堵眼增加费等由投标人综合考虑</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47.46</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47</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011702001003</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基础(3.0*1.5电缆井)</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1.模板制作、安装、拆除、整理堆放及场内外运输</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2.清理模板粘结物及模内杂物、刷隔离剂等</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3.模板及支撑材质、堵眼增加费等由投标人综合考虑</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4.98</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48</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011702025001</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其他现浇构件...压顶(3.0*1.5电缆井)</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1.模板制作、安装、拆除、整理堆放及场内外运输</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2.清理模板粘结物及模内杂物、刷隔离剂等</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3.模板及支撑材质、堵眼增加费等由投标人综合考虑</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23.79</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7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49</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011701001001</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综合脚手架(箱变基础)</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综合脚手架(箱变基础)</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51.68</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825"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011701001002</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综合脚手架(2.0*1.5电缆井)</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综合脚手架(2.0*1.5电缆井)</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60.76</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825"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51</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011701001003</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综合脚手架(3.0*1.5电缆井)</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综合脚手架(3.0*1.5电缆井)</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40.5</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355" w:type="dxa"/>
            <w:gridSpan w:val="4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409" w:type="dxa"/>
            <w:gridSpan w:val="5"/>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46" w:type="dxa"/>
            <w:gridSpan w:val="7"/>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58"/>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1080" w:hRule="atLeast"/>
        </w:trPr>
        <w:tc>
          <w:tcPr>
            <w:tcW w:w="6000" w:type="dxa"/>
            <w:gridSpan w:val="2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工程名称：电缆井及箱变基础</w:t>
            </w:r>
          </w:p>
        </w:tc>
        <w:tc>
          <w:tcPr>
            <w:tcW w:w="1815" w:type="dxa"/>
            <w:gridSpan w:val="15"/>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95" w:type="dxa"/>
            <w:gridSpan w:val="16"/>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7 页  共 7 页</w:t>
            </w:r>
          </w:p>
        </w:tc>
      </w:tr>
      <w:tr>
        <w:tblPrEx>
          <w:shd w:val="clear"/>
          <w:tblCellMar>
            <w:top w:w="0" w:type="dxa"/>
            <w:left w:w="0" w:type="dxa"/>
            <w:bottom w:w="0" w:type="dxa"/>
            <w:right w:w="0" w:type="dxa"/>
          </w:tblCellMar>
        </w:tblPrEx>
        <w:trPr>
          <w:trHeight w:val="360" w:hRule="atLeast"/>
        </w:trPr>
        <w:tc>
          <w:tcPr>
            <w:tcW w:w="885" w:type="dxa"/>
            <w:gridSpan w:val="6"/>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230" w:type="dxa"/>
            <w:gridSpan w:val="7"/>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640" w:type="dxa"/>
            <w:gridSpan w:val="11"/>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40" w:type="dxa"/>
            <w:gridSpan w:val="4"/>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30" w:type="dxa"/>
            <w:gridSpan w:val="7"/>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165" w:type="dxa"/>
            <w:gridSpan w:val="22"/>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85" w:type="dxa"/>
            <w:gridSpan w:val="6"/>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40"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10"/>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125" w:type="dxa"/>
            <w:gridSpan w:val="6"/>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85" w:type="dxa"/>
            <w:gridSpan w:val="6"/>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40" w:type="dxa"/>
            <w:gridSpan w:val="11"/>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gridSpan w:val="4"/>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7"/>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10"/>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gridSpan w:val="6"/>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825"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52</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011705001001</w:t>
            </w: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大型机械设备进出场及安拆</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大型机械设备进出场及安拆</w:t>
            </w: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台·次</w:t>
            </w: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85" w:type="dxa"/>
            <w:gridSpan w:val="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640" w:type="dxa"/>
            <w:gridSpan w:val="11"/>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7"/>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10"/>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355" w:type="dxa"/>
            <w:gridSpan w:val="46"/>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125" w:type="dxa"/>
            <w:gridSpan w:val="6"/>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355" w:type="dxa"/>
            <w:gridSpan w:val="46"/>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   计</w:t>
            </w:r>
          </w:p>
        </w:tc>
        <w:tc>
          <w:tcPr>
            <w:tcW w:w="1125" w:type="dxa"/>
            <w:gridSpan w:val="6"/>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gridSpan w:val="6"/>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58"/>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bl>
    <w:p>
      <w:pPr>
        <w:keepNext w:val="0"/>
        <w:keepLines w:val="0"/>
        <w:pageBreakBefore w:val="0"/>
        <w:widowControl/>
        <w:kinsoku/>
        <w:wordWrap/>
        <w:overflowPunct/>
        <w:topLinePunct w:val="0"/>
        <w:bidi w:val="0"/>
        <w:adjustRightInd/>
        <w:snapToGrid/>
        <w:spacing w:line="480" w:lineRule="auto"/>
        <w:jc w:val="center"/>
        <w:rPr>
          <w:rFonts w:hint="default" w:ascii="宋体" w:hAnsi="宋体" w:eastAsia="宋体" w:cs="宋体"/>
          <w:b/>
          <w:bCs/>
          <w:color w:val="000000"/>
          <w:sz w:val="28"/>
          <w:szCs w:val="28"/>
          <w:lang w:val="en-US" w:eastAsia="zh-CN"/>
        </w:rPr>
      </w:pPr>
    </w:p>
    <w:tbl>
      <w:tblPr>
        <w:tblW w:w="10410" w:type="dxa"/>
        <w:tblInd w:w="0" w:type="dxa"/>
        <w:shd w:val="clear"/>
        <w:tblLayout w:type="autofit"/>
        <w:tblCellMar>
          <w:top w:w="0" w:type="dxa"/>
          <w:left w:w="0" w:type="dxa"/>
          <w:bottom w:w="0" w:type="dxa"/>
          <w:right w:w="0" w:type="dxa"/>
        </w:tblCellMar>
      </w:tblPr>
      <w:tblGrid>
        <w:gridCol w:w="885"/>
        <w:gridCol w:w="1020"/>
        <w:gridCol w:w="1230"/>
        <w:gridCol w:w="2640"/>
        <w:gridCol w:w="225"/>
        <w:gridCol w:w="315"/>
        <w:gridCol w:w="930"/>
        <w:gridCol w:w="570"/>
        <w:gridCol w:w="540"/>
        <w:gridCol w:w="1125"/>
        <w:gridCol w:w="930"/>
      </w:tblGrid>
      <w:tr>
        <w:tblPrEx>
          <w:shd w:val="clear"/>
          <w:tblCellMar>
            <w:top w:w="0" w:type="dxa"/>
            <w:left w:w="0" w:type="dxa"/>
            <w:bottom w:w="0" w:type="dxa"/>
            <w:right w:w="0" w:type="dxa"/>
          </w:tblCellMar>
        </w:tblPrEx>
        <w:trPr>
          <w:trHeight w:val="795"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1080" w:hRule="atLeast"/>
        </w:trPr>
        <w:tc>
          <w:tcPr>
            <w:tcW w:w="6000" w:type="dxa"/>
            <w:gridSpan w:val="5"/>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工程名称：计量装置及专用间隔费等专业工程暂估价及项目暂列金</w:t>
            </w:r>
          </w:p>
        </w:tc>
        <w:tc>
          <w:tcPr>
            <w:tcW w:w="1815"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95"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1 页  共 1 页</w:t>
            </w:r>
          </w:p>
        </w:tc>
      </w:tr>
      <w:tr>
        <w:tblPrEx>
          <w:shd w:val="clear"/>
          <w:tblCellMar>
            <w:top w:w="0" w:type="dxa"/>
            <w:left w:w="0" w:type="dxa"/>
            <w:bottom w:w="0" w:type="dxa"/>
            <w:right w:w="0" w:type="dxa"/>
          </w:tblCellMar>
        </w:tblPrEx>
        <w:trPr>
          <w:trHeight w:val="360" w:hRule="atLeast"/>
        </w:trPr>
        <w:tc>
          <w:tcPr>
            <w:tcW w:w="885"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64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4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165"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trHeight w:val="360" w:hRule="atLeast"/>
        </w:trPr>
        <w:tc>
          <w:tcPr>
            <w:tcW w:w="88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4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3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360" w:hRule="atLeast"/>
        </w:trPr>
        <w:tc>
          <w:tcPr>
            <w:tcW w:w="885"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64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360" w:hRule="atLeast"/>
        </w:trPr>
        <w:tc>
          <w:tcPr>
            <w:tcW w:w="88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整个项目</w:t>
            </w:r>
          </w:p>
        </w:tc>
        <w:tc>
          <w:tcPr>
            <w:tcW w:w="264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8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64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8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措施项目</w:t>
            </w:r>
          </w:p>
        </w:tc>
        <w:tc>
          <w:tcPr>
            <w:tcW w:w="264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8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64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85"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64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4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355" w:type="dxa"/>
            <w:gridSpan w:val="9"/>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125"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35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   计</w:t>
            </w:r>
          </w:p>
        </w:tc>
        <w:tc>
          <w:tcPr>
            <w:tcW w:w="1125"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30"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bl>
    <w:p>
      <w:pPr>
        <w:keepNext w:val="0"/>
        <w:keepLines w:val="0"/>
        <w:pageBreakBefore w:val="0"/>
        <w:widowControl/>
        <w:kinsoku/>
        <w:wordWrap/>
        <w:overflowPunct/>
        <w:topLinePunct w:val="0"/>
        <w:bidi w:val="0"/>
        <w:adjustRightInd/>
        <w:snapToGrid/>
        <w:spacing w:line="480" w:lineRule="auto"/>
        <w:jc w:val="center"/>
        <w:rPr>
          <w:rFonts w:hint="default" w:ascii="宋体" w:hAnsi="宋体" w:eastAsia="宋体" w:cs="宋体"/>
          <w:b/>
          <w:bCs/>
          <w:color w:val="000000"/>
          <w:sz w:val="28"/>
          <w:szCs w:val="28"/>
          <w:lang w:val="en-US" w:eastAsia="zh-CN"/>
        </w:rPr>
      </w:pPr>
    </w:p>
    <w:tbl>
      <w:tblPr>
        <w:tblW w:w="10410" w:type="dxa"/>
        <w:tblInd w:w="0" w:type="dxa"/>
        <w:shd w:val="clear"/>
        <w:tblLayout w:type="autofit"/>
        <w:tblCellMar>
          <w:top w:w="0" w:type="dxa"/>
          <w:left w:w="0" w:type="dxa"/>
          <w:bottom w:w="0" w:type="dxa"/>
          <w:right w:w="0" w:type="dxa"/>
        </w:tblCellMar>
      </w:tblPr>
      <w:tblGrid>
        <w:gridCol w:w="843"/>
        <w:gridCol w:w="20"/>
        <w:gridCol w:w="1230"/>
        <w:gridCol w:w="183"/>
        <w:gridCol w:w="1014"/>
        <w:gridCol w:w="120"/>
        <w:gridCol w:w="32"/>
        <w:gridCol w:w="2429"/>
        <w:gridCol w:w="95"/>
        <w:gridCol w:w="435"/>
        <w:gridCol w:w="85"/>
        <w:gridCol w:w="835"/>
        <w:gridCol w:w="76"/>
        <w:gridCol w:w="1006"/>
        <w:gridCol w:w="47"/>
        <w:gridCol w:w="245"/>
        <w:gridCol w:w="24"/>
        <w:gridCol w:w="780"/>
        <w:gridCol w:w="20"/>
        <w:gridCol w:w="891"/>
      </w:tblGrid>
      <w:tr>
        <w:tblPrEx>
          <w:tblCellMar>
            <w:top w:w="0" w:type="dxa"/>
            <w:left w:w="0" w:type="dxa"/>
            <w:bottom w:w="0" w:type="dxa"/>
            <w:right w:w="0" w:type="dxa"/>
          </w:tblCellMar>
        </w:tblPrEx>
        <w:trPr>
          <w:trHeight w:val="795" w:hRule="atLeast"/>
        </w:trPr>
        <w:tc>
          <w:tcPr>
            <w:tcW w:w="10410" w:type="dxa"/>
            <w:gridSpan w:val="20"/>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301" w:hRule="atLeast"/>
        </w:trPr>
        <w:tc>
          <w:tcPr>
            <w:tcW w:w="3442" w:type="dxa"/>
            <w:gridSpan w:val="7"/>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工程名称：土建通道</w:t>
            </w:r>
          </w:p>
        </w:tc>
        <w:tc>
          <w:tcPr>
            <w:tcW w:w="5253" w:type="dxa"/>
            <w:gridSpan w:val="9"/>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715"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1 页  共 2 页</w:t>
            </w:r>
          </w:p>
        </w:tc>
      </w:tr>
      <w:tr>
        <w:tblPrEx>
          <w:tblCellMar>
            <w:top w:w="0" w:type="dxa"/>
            <w:left w:w="0" w:type="dxa"/>
            <w:bottom w:w="0" w:type="dxa"/>
            <w:right w:w="0" w:type="dxa"/>
          </w:tblCellMar>
        </w:tblPrEx>
        <w:trPr>
          <w:trHeight w:val="360" w:hRule="atLeast"/>
        </w:trPr>
        <w:tc>
          <w:tcPr>
            <w:tcW w:w="843"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433"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66"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24"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2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1"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13" w:type="dxa"/>
            <w:gridSpan w:val="7"/>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4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33"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66"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24"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3"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69"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360" w:hRule="atLeast"/>
        </w:trPr>
        <w:tc>
          <w:tcPr>
            <w:tcW w:w="84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33"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66"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24"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1"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53"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69"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360" w:hRule="atLeast"/>
        </w:trPr>
        <w:tc>
          <w:tcPr>
            <w:tcW w:w="84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433"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66"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整个项目</w:t>
            </w:r>
          </w:p>
        </w:tc>
        <w:tc>
          <w:tcPr>
            <w:tcW w:w="2524"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53"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69"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100" w:hRule="atLeast"/>
        </w:trPr>
        <w:tc>
          <w:tcPr>
            <w:tcW w:w="84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433"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030408003001</w:t>
            </w:r>
          </w:p>
        </w:tc>
        <w:tc>
          <w:tcPr>
            <w:tcW w:w="1166"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电缆保护管</w:t>
            </w:r>
          </w:p>
        </w:tc>
        <w:tc>
          <w:tcPr>
            <w:tcW w:w="2524"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1.名称:8孔中压排管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2.材质、规格:Φ100, PE管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3.连接方式:配套密闭橡胶圈连接</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4.工作内容：含管内穿铁丝、管枕等所有配套辅材安装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1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84.43</w:t>
            </w:r>
          </w:p>
        </w:tc>
        <w:tc>
          <w:tcPr>
            <w:tcW w:w="1053"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69"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2100" w:hRule="atLeast"/>
        </w:trPr>
        <w:tc>
          <w:tcPr>
            <w:tcW w:w="84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1433"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030408003002</w:t>
            </w:r>
          </w:p>
        </w:tc>
        <w:tc>
          <w:tcPr>
            <w:tcW w:w="1166"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电缆保护管</w:t>
            </w:r>
          </w:p>
        </w:tc>
        <w:tc>
          <w:tcPr>
            <w:tcW w:w="2524"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1.名称:2孔低压排管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2.材质、规格:Φ150, PE管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3.连接方式:配套密闭橡胶圈连接</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4.工作内容：含管内穿铁丝、管枕等所有配套辅材安装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1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26.52</w:t>
            </w:r>
          </w:p>
        </w:tc>
        <w:tc>
          <w:tcPr>
            <w:tcW w:w="1053"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69"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4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433"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041001001001</w:t>
            </w:r>
          </w:p>
        </w:tc>
        <w:tc>
          <w:tcPr>
            <w:tcW w:w="1166"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拆除路面</w:t>
            </w:r>
          </w:p>
        </w:tc>
        <w:tc>
          <w:tcPr>
            <w:tcW w:w="2524"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1.名称:路面破除</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2.材质:混泥土路面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3.厚度:200mm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4.工作内容：路面破除及垃圾清运等所有配套工作</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1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26.63</w:t>
            </w:r>
          </w:p>
        </w:tc>
        <w:tc>
          <w:tcPr>
            <w:tcW w:w="1053"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69"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4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w:t>
            </w:r>
          </w:p>
        </w:tc>
        <w:tc>
          <w:tcPr>
            <w:tcW w:w="1433"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040203007001</w:t>
            </w:r>
          </w:p>
        </w:tc>
        <w:tc>
          <w:tcPr>
            <w:tcW w:w="1166"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水泥混凝土</w:t>
            </w:r>
          </w:p>
        </w:tc>
        <w:tc>
          <w:tcPr>
            <w:tcW w:w="2524"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1.名称:路面恢复</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2.材质:混泥土路面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3.厚度:200mm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4.工作内容：含混泥土路面伸缩缝等所有配套工作</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m2</w:t>
            </w:r>
          </w:p>
        </w:tc>
        <w:tc>
          <w:tcPr>
            <w:tcW w:w="91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26.63</w:t>
            </w:r>
          </w:p>
        </w:tc>
        <w:tc>
          <w:tcPr>
            <w:tcW w:w="1053"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69"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84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w:t>
            </w:r>
          </w:p>
        </w:tc>
        <w:tc>
          <w:tcPr>
            <w:tcW w:w="1433"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040101001001</w:t>
            </w:r>
          </w:p>
        </w:tc>
        <w:tc>
          <w:tcPr>
            <w:tcW w:w="1166"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挖一般土方</w:t>
            </w:r>
          </w:p>
        </w:tc>
        <w:tc>
          <w:tcPr>
            <w:tcW w:w="2524"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1.土壤类别: 一、二类土</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2.挖土深度:2米以内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3.工作内容：人机配合</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5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1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106.62</w:t>
            </w:r>
          </w:p>
        </w:tc>
        <w:tc>
          <w:tcPr>
            <w:tcW w:w="1053"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69"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84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433"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040103001001</w:t>
            </w:r>
          </w:p>
        </w:tc>
        <w:tc>
          <w:tcPr>
            <w:tcW w:w="1166"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回填方</w:t>
            </w:r>
          </w:p>
        </w:tc>
        <w:tc>
          <w:tcPr>
            <w:tcW w:w="2524"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1.名称：回填方</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2.填方来源：原土回填</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11"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55</w:t>
            </w:r>
          </w:p>
        </w:tc>
        <w:tc>
          <w:tcPr>
            <w:tcW w:w="1053"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69"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450" w:type="dxa"/>
            <w:gridSpan w:val="15"/>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69" w:type="dxa"/>
            <w:gridSpan w:val="4"/>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891"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20"/>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20"/>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bdr w:val="none" w:color="auto" w:sz="0" w:space="0"/>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345" w:hRule="atLeast"/>
        </w:trPr>
        <w:tc>
          <w:tcPr>
            <w:tcW w:w="3410" w:type="dxa"/>
            <w:gridSpan w:val="6"/>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工程名称：土建通道</w:t>
            </w:r>
          </w:p>
        </w:tc>
        <w:tc>
          <w:tcPr>
            <w:tcW w:w="5309" w:type="dxa"/>
            <w:gridSpan w:val="11"/>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1691"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2 页  共 2 页</w:t>
            </w:r>
          </w:p>
        </w:tc>
      </w:tr>
      <w:tr>
        <w:tblPrEx>
          <w:tblCellMar>
            <w:top w:w="0" w:type="dxa"/>
            <w:left w:w="0" w:type="dxa"/>
            <w:bottom w:w="0" w:type="dxa"/>
            <w:right w:w="0" w:type="dxa"/>
          </w:tblCellMar>
        </w:tblPrEx>
        <w:trPr>
          <w:trHeight w:val="360" w:hRule="atLeast"/>
        </w:trPr>
        <w:tc>
          <w:tcPr>
            <w:tcW w:w="863" w:type="dxa"/>
            <w:gridSpan w:val="2"/>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7"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81"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20"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9" w:type="dxa"/>
            <w:gridSpan w:val="8"/>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63" w:type="dxa"/>
            <w:gridSpan w:val="2"/>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81"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2"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6" w:type="dxa"/>
            <w:gridSpan w:val="4"/>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570" w:hRule="atLeast"/>
        </w:trPr>
        <w:tc>
          <w:tcPr>
            <w:tcW w:w="863" w:type="dxa"/>
            <w:gridSpan w:val="2"/>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7"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81"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2"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6" w:type="dxa"/>
            <w:gridSpan w:val="4"/>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1335"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7</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010404001001</w:t>
            </w: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垫层</w:t>
            </w: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1.垫层材料种类、配合比、厚度:C20砼包封</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2.厚度：0.38米</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5.21</w:t>
            </w: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335"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8</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010404001002</w:t>
            </w: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垫层</w:t>
            </w: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1.垫层材料种类、配合比:碎石垫层</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2.厚度：0.1米</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2.15</w:t>
            </w: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335"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9</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010404001003</w:t>
            </w: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垫层</w:t>
            </w: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1.垫层材料种类、配合比:细砂垫层</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2.厚度：0.54米</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38.01</w:t>
            </w: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80"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040103002001</w:t>
            </w: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余方弃置</w:t>
            </w: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1.废弃料品种:余土弃置</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2.运距:暂按10km考虑</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3.其他：满足图纸设计及施工规范要求</w:t>
            </w: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m3</w:t>
            </w: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6.25</w:t>
            </w: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措施项目</w:t>
            </w: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PrEx>
        <w:trPr>
          <w:trHeight w:val="360"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PrEx>
        <w:trPr>
          <w:trHeight w:val="360"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gridSpan w:val="2"/>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7"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81" w:type="dxa"/>
            <w:gridSpan w:val="3"/>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2"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403" w:type="dxa"/>
            <w:gridSpan w:val="14"/>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6" w:type="dxa"/>
            <w:gridSpan w:val="4"/>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03" w:type="dxa"/>
            <w:gridSpan w:val="14"/>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   计</w:t>
            </w:r>
          </w:p>
        </w:tc>
        <w:tc>
          <w:tcPr>
            <w:tcW w:w="1096" w:type="dxa"/>
            <w:gridSpan w:val="4"/>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11" w:type="dxa"/>
            <w:gridSpan w:val="2"/>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20"/>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bl>
    <w:p>
      <w:pPr>
        <w:keepNext w:val="0"/>
        <w:keepLines w:val="0"/>
        <w:pageBreakBefore w:val="0"/>
        <w:widowControl/>
        <w:kinsoku/>
        <w:wordWrap/>
        <w:overflowPunct/>
        <w:topLinePunct w:val="0"/>
        <w:bidi w:val="0"/>
        <w:adjustRightInd/>
        <w:snapToGrid/>
        <w:spacing w:line="480" w:lineRule="auto"/>
        <w:jc w:val="center"/>
        <w:rPr>
          <w:rFonts w:hint="default" w:ascii="宋体" w:hAnsi="宋体" w:eastAsia="宋体" w:cs="宋体"/>
          <w:b/>
          <w:bCs/>
          <w:color w:val="000000"/>
          <w:sz w:val="28"/>
          <w:szCs w:val="28"/>
          <w:lang w:val="en-US" w:eastAsia="zh-CN"/>
        </w:rPr>
      </w:pPr>
    </w:p>
    <w:p>
      <w:pPr>
        <w:keepNext w:val="0"/>
        <w:keepLines w:val="0"/>
        <w:pageBreakBefore w:val="0"/>
        <w:widowControl/>
        <w:kinsoku/>
        <w:wordWrap/>
        <w:overflowPunct/>
        <w:topLinePunct w:val="0"/>
        <w:bidi w:val="0"/>
        <w:adjustRightInd/>
        <w:snapToGrid/>
        <w:spacing w:line="480" w:lineRule="auto"/>
        <w:jc w:val="center"/>
        <w:rPr>
          <w:rFonts w:hint="default" w:ascii="宋体" w:hAnsi="宋体" w:eastAsia="宋体" w:cs="宋体"/>
          <w:b/>
          <w:bCs/>
          <w:color w:val="000000"/>
          <w:sz w:val="28"/>
          <w:szCs w:val="28"/>
          <w:lang w:val="en-US" w:eastAsia="zh-CN"/>
        </w:rPr>
      </w:pPr>
    </w:p>
    <w:p>
      <w:pPr>
        <w:keepNext w:val="0"/>
        <w:keepLines w:val="0"/>
        <w:pageBreakBefore w:val="0"/>
        <w:widowControl/>
        <w:kinsoku/>
        <w:wordWrap/>
        <w:overflowPunct/>
        <w:topLinePunct w:val="0"/>
        <w:bidi w:val="0"/>
        <w:adjustRightInd/>
        <w:snapToGrid/>
        <w:spacing w:line="480" w:lineRule="auto"/>
        <w:jc w:val="center"/>
        <w:rPr>
          <w:rFonts w:hint="default" w:ascii="宋体" w:hAnsi="宋体" w:eastAsia="宋体" w:cs="宋体"/>
          <w:b/>
          <w:bCs/>
          <w:color w:val="000000"/>
          <w:sz w:val="28"/>
          <w:szCs w:val="28"/>
          <w:lang w:val="en-US" w:eastAsia="zh-CN"/>
        </w:rPr>
      </w:pPr>
    </w:p>
    <w:tbl>
      <w:tblPr>
        <w:tblW w:w="10410" w:type="dxa"/>
        <w:tblInd w:w="0" w:type="dxa"/>
        <w:shd w:val="clear"/>
        <w:tblLayout w:type="autofit"/>
        <w:tblCellMar>
          <w:top w:w="0" w:type="dxa"/>
          <w:left w:w="0" w:type="dxa"/>
          <w:bottom w:w="0" w:type="dxa"/>
          <w:right w:w="0" w:type="dxa"/>
        </w:tblCellMar>
      </w:tblPr>
      <w:tblGrid>
        <w:gridCol w:w="863"/>
        <w:gridCol w:w="1230"/>
        <w:gridCol w:w="1196"/>
        <w:gridCol w:w="1777"/>
        <w:gridCol w:w="819"/>
        <w:gridCol w:w="530"/>
        <w:gridCol w:w="910"/>
        <w:gridCol w:w="556"/>
        <w:gridCol w:w="524"/>
        <w:gridCol w:w="1096"/>
        <w:gridCol w:w="909"/>
      </w:tblGrid>
      <w:tr>
        <w:tblPrEx>
          <w:tblCellMar>
            <w:top w:w="0" w:type="dxa"/>
            <w:left w:w="0" w:type="dxa"/>
            <w:bottom w:w="0" w:type="dxa"/>
            <w:right w:w="0" w:type="dxa"/>
          </w:tblCellMar>
        </w:tblPrEx>
        <w:trPr>
          <w:trHeight w:val="795"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477" w:hRule="atLeast"/>
        </w:trPr>
        <w:tc>
          <w:tcPr>
            <w:tcW w:w="5066"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工程名称：新立P1#杆350X15m(含改造杆型材料)</w:t>
            </w:r>
          </w:p>
        </w:tc>
        <w:tc>
          <w:tcPr>
            <w:tcW w:w="2815"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29"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1 页  共 7 页</w:t>
            </w:r>
          </w:p>
        </w:tc>
      </w:tr>
      <w:tr>
        <w:tblPrEx>
          <w:shd w:val="clear"/>
          <w:tblCellMar>
            <w:top w:w="0" w:type="dxa"/>
            <w:left w:w="0" w:type="dxa"/>
            <w:bottom w:w="0" w:type="dxa"/>
            <w:right w:w="0" w:type="dxa"/>
          </w:tblCellMar>
        </w:tblPrEx>
        <w:trPr>
          <w:trHeight w:val="360" w:hRule="atLeast"/>
        </w:trPr>
        <w:tc>
          <w:tcPr>
            <w:tcW w:w="863"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9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5"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trHeight w:val="36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36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整个项目</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210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030410001001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电杆组立</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 xml:space="preserve">1.名称:环状钢筋砼电杆 </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2.规格：Φ350*15m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3.底盘、拉盘、卡盘规格：含有卡盘和底盘</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4.工作内容：含电杆运输及混泥土基础</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基</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1.名称、型号、规格:驱鸟器</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10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030410002001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横担组装</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1.名称:角铁横担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2.材质:L63*6*2200（含固定抱箍和直通螺栓）</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10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030410002002</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横担组装</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1.名称:避雷器横担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2.材质:L63*6*1500（含固定抱箍）</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030410002003</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横担组装</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1.名称:扁铁拉铁</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2.材质:-6*50*500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tblCellMar>
            <w:top w:w="0" w:type="dxa"/>
            <w:left w:w="0" w:type="dxa"/>
            <w:bottom w:w="0" w:type="dxa"/>
            <w:right w:w="0" w:type="dxa"/>
          </w:tblCellMar>
        </w:tblPrEx>
        <w:trPr>
          <w:trHeight w:val="639" w:hRule="atLeast"/>
        </w:trPr>
        <w:tc>
          <w:tcPr>
            <w:tcW w:w="5066"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工程名称：新立P1#杆350X15m(含改造杆型材料)</w:t>
            </w:r>
          </w:p>
        </w:tc>
        <w:tc>
          <w:tcPr>
            <w:tcW w:w="2815"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29"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2 页  共 7 页</w:t>
            </w:r>
          </w:p>
        </w:tc>
      </w:tr>
      <w:tr>
        <w:tblPrEx>
          <w:tblCellMar>
            <w:top w:w="0" w:type="dxa"/>
            <w:left w:w="0" w:type="dxa"/>
            <w:bottom w:w="0" w:type="dxa"/>
            <w:right w:w="0" w:type="dxa"/>
          </w:tblCellMar>
        </w:tblPrEx>
        <w:trPr>
          <w:trHeight w:val="360" w:hRule="atLeast"/>
        </w:trPr>
        <w:tc>
          <w:tcPr>
            <w:tcW w:w="863"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9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5"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57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030410002004</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横担组装</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1.名称:扁铁撑铁</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2.材质:-6*50*870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12</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35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7</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030408001001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1.名称:电缆头引线（含电缆头支架）</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2.型号、规格:JKV-120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4.敷设方式、部位:街码金具上</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210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8</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030408001002</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1.名称:避雷器引线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2.型号、规格:JKV-25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4.敷设方式、部位:街码金具上</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9</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030411004001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配线</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1.名称:铜芯皮线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2.型号、规格:BX-120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4.敷设方式、部位:街码金具上</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12</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030410002005</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横担组装</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1.名称:楔形耐张线夹</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2.材质:NXJ -120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tblCellMar>
            <w:top w:w="0" w:type="dxa"/>
            <w:left w:w="0" w:type="dxa"/>
            <w:bottom w:w="0" w:type="dxa"/>
            <w:right w:w="0" w:type="dxa"/>
          </w:tblCellMar>
        </w:tblPrEx>
        <w:trPr>
          <w:trHeight w:val="795"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665" w:hRule="atLeast"/>
        </w:trPr>
        <w:tc>
          <w:tcPr>
            <w:tcW w:w="5066"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工程名称：新立P1#杆350X15m(含改造杆型材料)</w:t>
            </w:r>
          </w:p>
        </w:tc>
        <w:tc>
          <w:tcPr>
            <w:tcW w:w="2815"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29"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3 页  共 7 页</w:t>
            </w:r>
          </w:p>
        </w:tc>
      </w:tr>
      <w:tr>
        <w:tblPrEx>
          <w:tblCellMar>
            <w:top w:w="0" w:type="dxa"/>
            <w:left w:w="0" w:type="dxa"/>
            <w:bottom w:w="0" w:type="dxa"/>
            <w:right w:w="0" w:type="dxa"/>
          </w:tblCellMar>
        </w:tblPrEx>
        <w:trPr>
          <w:trHeight w:val="360" w:hRule="atLeast"/>
        </w:trPr>
        <w:tc>
          <w:tcPr>
            <w:tcW w:w="863"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9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5"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shd w:val="clear"/>
          <w:tblCellMar>
            <w:top w:w="0" w:type="dxa"/>
            <w:left w:w="0" w:type="dxa"/>
            <w:bottom w:w="0" w:type="dxa"/>
            <w:right w:w="0" w:type="dxa"/>
          </w:tblCellMar>
        </w:tblPrEx>
        <w:trPr>
          <w:trHeight w:val="36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57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210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11</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030408003001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电缆保护管</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1.名称:涂塑钢管弯管及电缆引上管</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2.材质:Φ150*3000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4.工作内容：包含固定抱箍等所有辅材等安装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根</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235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12</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030410004002</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1.名称:柱上永磁真空断路器</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2.材质:-12/630-20kA 1(s) 具有速断保护功能</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4.工作内容：配手动和电动机构含绝缘罩、支架等所有辅材等安装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13</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030409001001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接地极</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1.名称:接地装置 双极</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2.材质:镀锌角钢</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根</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14</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030410002006</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横担组装</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1.名称:棒式绝缘子</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2.材质:PS-15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15</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030410004003</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1.名称:户外隔离刀闸</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2.材质:WG-10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tblCellMar>
            <w:top w:w="0" w:type="dxa"/>
            <w:left w:w="0" w:type="dxa"/>
            <w:bottom w:w="0" w:type="dxa"/>
            <w:right w:w="0" w:type="dxa"/>
          </w:tblCellMar>
        </w:tblPrEx>
        <w:trPr>
          <w:trHeight w:val="795"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609" w:hRule="atLeast"/>
        </w:trPr>
        <w:tc>
          <w:tcPr>
            <w:tcW w:w="5066"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工程名称：新立P1#杆350X15m(含改造杆型材料)</w:t>
            </w:r>
          </w:p>
        </w:tc>
        <w:tc>
          <w:tcPr>
            <w:tcW w:w="2815"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29"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4 页  共 7 页</w:t>
            </w:r>
          </w:p>
        </w:tc>
      </w:tr>
      <w:tr>
        <w:tblPrEx>
          <w:shd w:val="clear"/>
          <w:tblCellMar>
            <w:top w:w="0" w:type="dxa"/>
            <w:left w:w="0" w:type="dxa"/>
            <w:bottom w:w="0" w:type="dxa"/>
            <w:right w:w="0" w:type="dxa"/>
          </w:tblCellMar>
        </w:tblPrEx>
        <w:trPr>
          <w:trHeight w:val="360" w:hRule="atLeast"/>
        </w:trPr>
        <w:tc>
          <w:tcPr>
            <w:tcW w:w="863"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9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5"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210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16</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030409010001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浪涌保护器</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1.名称:氧化锌避雷器（1组3只）</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2.材质:YH5WS-17/50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17</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030410004004</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1.名称:铜接线端子</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2.材质:-120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9</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18</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030410004005</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1.名称:铜铝接线端子</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2.材质:-120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19</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030410003001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导线架设</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1.名称:接地线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2.材质:GJ-35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km</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15</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20</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030410004007</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1.名称:接地线夹</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2.材质:JBB-1</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795"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595" w:hRule="atLeast"/>
        </w:trPr>
        <w:tc>
          <w:tcPr>
            <w:tcW w:w="5066"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工程名称：新立P1#杆350X15m(含改造杆型材料)</w:t>
            </w:r>
          </w:p>
        </w:tc>
        <w:tc>
          <w:tcPr>
            <w:tcW w:w="2815"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29"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5 页  共 7 页</w:t>
            </w:r>
          </w:p>
        </w:tc>
      </w:tr>
      <w:tr>
        <w:tblPrEx>
          <w:shd w:val="clear"/>
          <w:tblCellMar>
            <w:top w:w="0" w:type="dxa"/>
            <w:left w:w="0" w:type="dxa"/>
            <w:bottom w:w="0" w:type="dxa"/>
            <w:right w:w="0" w:type="dxa"/>
          </w:tblCellMar>
        </w:tblPrEx>
        <w:trPr>
          <w:trHeight w:val="360" w:hRule="atLeast"/>
        </w:trPr>
        <w:tc>
          <w:tcPr>
            <w:tcW w:w="863"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9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5"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159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21</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030410003002</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导线架设</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1.名称:架空绝缘导线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2.型号、规格:JKLYJ-120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3.工作内容:含所有辅材等安装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22</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030410004008</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1.名称:户外单相PT</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2.材质:10/0.22kV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4.工作内容：包含支架等所有辅材等安装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10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23</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030408001003</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电力电缆</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1.名称:PT引线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2.型号、规格:JKV-25</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3.材质:铜芯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4.敷设方式、部位:街码金具上</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6.其他：满足图纸设计及施工规范要求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m</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24</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030410002007</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横担组装</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1.名称:悬式瓷瓶</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2.材质:U70BP/146D</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4.工作内容：包含支架等所有辅材等安装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12</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25</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030410004010</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1.名称:直角挂板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2.材质:Z-7</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442"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bdr w:val="none" w:color="auto" w:sz="0" w:space="0"/>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492" w:hRule="atLeast"/>
        </w:trPr>
        <w:tc>
          <w:tcPr>
            <w:tcW w:w="5066"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工程名称：新立P1#杆350X15m(含改造杆型材料)</w:t>
            </w:r>
          </w:p>
        </w:tc>
        <w:tc>
          <w:tcPr>
            <w:tcW w:w="2815"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29"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6 页  共 7 页</w:t>
            </w:r>
          </w:p>
        </w:tc>
      </w:tr>
      <w:tr>
        <w:tblPrEx>
          <w:tblCellMar>
            <w:top w:w="0" w:type="dxa"/>
            <w:left w:w="0" w:type="dxa"/>
            <w:bottom w:w="0" w:type="dxa"/>
            <w:right w:w="0" w:type="dxa"/>
          </w:tblCellMar>
        </w:tblPrEx>
        <w:trPr>
          <w:trHeight w:val="360" w:hRule="atLeast"/>
        </w:trPr>
        <w:tc>
          <w:tcPr>
            <w:tcW w:w="863"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9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5"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shd w:val="clear"/>
          <w:tblCellMar>
            <w:top w:w="0" w:type="dxa"/>
            <w:left w:w="0" w:type="dxa"/>
            <w:bottom w:w="0" w:type="dxa"/>
            <w:right w:w="0" w:type="dxa"/>
          </w:tblCellMar>
        </w:tblPrEx>
        <w:trPr>
          <w:trHeight w:val="57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26</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030410004011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1.名称:碗头挂板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2.材质:W-7</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27</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030410004012</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1.名称:球头挂板</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2.材质:Q-7</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6</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59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28</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030410004013</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1.名称:接地挂环</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3.工作内容：包含楔形线夹等所有辅材等安装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29</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030410002008</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横担组装</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1.名称:带电装卸线夹</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2.材质:-120</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4.工作内容：包含绝缘包裹等所有辅材等安装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5</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59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30</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030410004014</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1.名称:控制断路器控制箱</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3.工作内容：包含控制线,固定抱箍等所有辅材等安装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台</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1845"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31</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010606008001</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钢梯</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 xml:space="preserve">1.名称:爬梯 </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2.材质:6m</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4.工作内容：包含绝缘包裹等所有辅材等安装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副</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r>
        <w:tblPrEx>
          <w:shd w:val="clear"/>
          <w:tblCellMar>
            <w:top w:w="0" w:type="dxa"/>
            <w:left w:w="0" w:type="dxa"/>
            <w:bottom w:w="0" w:type="dxa"/>
            <w:right w:w="0" w:type="dxa"/>
          </w:tblCellMar>
        </w:tblPrEx>
        <w:trPr>
          <w:trHeight w:val="444" w:hRule="atLeast"/>
        </w:trPr>
        <w:tc>
          <w:tcPr>
            <w:tcW w:w="10410" w:type="dxa"/>
            <w:gridSpan w:val="11"/>
            <w:tcBorders>
              <w:top w:val="nil"/>
              <w:left w:val="nil"/>
              <w:bottom w:val="nil"/>
              <w:right w:val="nil"/>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bdr w:val="none" w:color="auto" w:sz="0" w:space="0"/>
                <w:lang w:val="en-US" w:eastAsia="zh-CN" w:bidi="ar"/>
              </w:rPr>
              <w:t>分部分项工程和单价措施项目清单与计价表</w:t>
            </w:r>
          </w:p>
        </w:tc>
      </w:tr>
      <w:tr>
        <w:tblPrEx>
          <w:shd w:val="clear"/>
          <w:tblCellMar>
            <w:top w:w="0" w:type="dxa"/>
            <w:left w:w="0" w:type="dxa"/>
            <w:bottom w:w="0" w:type="dxa"/>
            <w:right w:w="0" w:type="dxa"/>
          </w:tblCellMar>
        </w:tblPrEx>
        <w:trPr>
          <w:trHeight w:val="522" w:hRule="atLeast"/>
        </w:trPr>
        <w:tc>
          <w:tcPr>
            <w:tcW w:w="5066"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工程名称：新立P1#杆350X15m(含改造杆型材料)</w:t>
            </w:r>
          </w:p>
        </w:tc>
        <w:tc>
          <w:tcPr>
            <w:tcW w:w="2815" w:type="dxa"/>
            <w:gridSpan w:val="4"/>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标段：庙山向阳农民还建新村新建临时专用箱变供电工程</w:t>
            </w:r>
          </w:p>
        </w:tc>
        <w:tc>
          <w:tcPr>
            <w:tcW w:w="2529" w:type="dxa"/>
            <w:gridSpan w:val="3"/>
            <w:tcBorders>
              <w:top w:val="nil"/>
              <w:left w:val="nil"/>
              <w:bottom w:val="nil"/>
              <w:right w:val="nil"/>
            </w:tcBorders>
            <w:shd w:val="clear" w:color="FFFFFF"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第 7 页  共 7 页</w:t>
            </w:r>
          </w:p>
        </w:tc>
      </w:tr>
      <w:tr>
        <w:tblPrEx>
          <w:shd w:val="clear"/>
          <w:tblCellMar>
            <w:top w:w="0" w:type="dxa"/>
            <w:left w:w="0" w:type="dxa"/>
            <w:bottom w:w="0" w:type="dxa"/>
            <w:right w:w="0" w:type="dxa"/>
          </w:tblCellMar>
        </w:tblPrEx>
        <w:trPr>
          <w:trHeight w:val="360" w:hRule="atLeast"/>
        </w:trPr>
        <w:tc>
          <w:tcPr>
            <w:tcW w:w="863" w:type="dxa"/>
            <w:vMerge w:val="restar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序号</w:t>
            </w:r>
          </w:p>
        </w:tc>
        <w:tc>
          <w:tcPr>
            <w:tcW w:w="12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项目编码</w:t>
            </w:r>
          </w:p>
        </w:tc>
        <w:tc>
          <w:tcPr>
            <w:tcW w:w="1196"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项目名称</w:t>
            </w:r>
          </w:p>
        </w:tc>
        <w:tc>
          <w:tcPr>
            <w:tcW w:w="2596"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项目特征描述</w:t>
            </w:r>
          </w:p>
        </w:tc>
        <w:tc>
          <w:tcPr>
            <w:tcW w:w="53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计量单位</w:t>
            </w:r>
          </w:p>
        </w:tc>
        <w:tc>
          <w:tcPr>
            <w:tcW w:w="910" w:type="dxa"/>
            <w:vMerge w:val="restar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工程量</w:t>
            </w:r>
          </w:p>
        </w:tc>
        <w:tc>
          <w:tcPr>
            <w:tcW w:w="3085" w:type="dxa"/>
            <w:gridSpan w:val="4"/>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金额（元）</w:t>
            </w:r>
          </w:p>
        </w:tc>
      </w:tr>
      <w:tr>
        <w:tblPrEx>
          <w:tblCellMar>
            <w:top w:w="0" w:type="dxa"/>
            <w:left w:w="0" w:type="dxa"/>
            <w:bottom w:w="0" w:type="dxa"/>
            <w:right w:w="0" w:type="dxa"/>
          </w:tblCellMar>
        </w:tblPrEx>
        <w:trPr>
          <w:trHeight w:val="36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综合单价</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合价</w:t>
            </w: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其中</w:t>
            </w:r>
          </w:p>
        </w:tc>
      </w:tr>
      <w:tr>
        <w:tblPrEx>
          <w:tblCellMar>
            <w:top w:w="0" w:type="dxa"/>
            <w:left w:w="0" w:type="dxa"/>
            <w:bottom w:w="0" w:type="dxa"/>
            <w:right w:w="0" w:type="dxa"/>
          </w:tblCellMar>
        </w:tblPrEx>
        <w:trPr>
          <w:trHeight w:val="570" w:hRule="atLeast"/>
        </w:trPr>
        <w:tc>
          <w:tcPr>
            <w:tcW w:w="863" w:type="dxa"/>
            <w:vMerge w:val="continue"/>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6"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96"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vMerge w:val="continue"/>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暂估价</w:t>
            </w:r>
          </w:p>
        </w:tc>
      </w:tr>
      <w:tr>
        <w:tblPrEx>
          <w:shd w:val="clear"/>
          <w:tblCellMar>
            <w:top w:w="0" w:type="dxa"/>
            <w:left w:w="0" w:type="dxa"/>
            <w:bottom w:w="0" w:type="dxa"/>
            <w:right w:w="0" w:type="dxa"/>
          </w:tblCellMar>
        </w:tblPrEx>
        <w:trPr>
          <w:trHeight w:val="210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32</w:t>
            </w: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030410004015</w:t>
            </w: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杆上设备</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 xml:space="preserve">1.名称:安普线夹 </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2.材质:含标识牌、安全警示牌、防撞警示牌</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3.电压等级(kV):10KV</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4.工作内容：包含所有辅材等安装</w:t>
            </w:r>
            <w:r>
              <w:rPr>
                <w:rFonts w:hint="eastAsia" w:ascii="宋体" w:hAnsi="宋体" w:eastAsia="宋体" w:cs="宋体"/>
                <w:i w:val="0"/>
                <w:color w:val="000000"/>
                <w:kern w:val="0"/>
                <w:sz w:val="20"/>
                <w:szCs w:val="20"/>
                <w:u w:val="none"/>
                <w:bdr w:val="none" w:color="auto" w:sz="0" w:space="0"/>
                <w:lang w:val="en-US" w:eastAsia="zh-CN" w:bidi="ar"/>
              </w:rPr>
              <w:br w:type="textWrapping"/>
            </w:r>
            <w:r>
              <w:rPr>
                <w:rFonts w:hint="eastAsia" w:ascii="宋体" w:hAnsi="宋体" w:eastAsia="宋体" w:cs="宋体"/>
                <w:i w:val="0"/>
                <w:color w:val="000000"/>
                <w:kern w:val="0"/>
                <w:sz w:val="20"/>
                <w:szCs w:val="20"/>
                <w:u w:val="none"/>
                <w:bdr w:val="none" w:color="auto" w:sz="0" w:space="0"/>
                <w:lang w:val="en-US" w:eastAsia="zh-CN" w:bidi="ar"/>
              </w:rPr>
              <w:t>5.其他：满足图纸设计及施工规范要求</w:t>
            </w: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组</w:t>
            </w: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9</w:t>
            </w: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措施项目</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分部小计</w:t>
            </w: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bookmarkStart w:id="74" w:name="_GoBack"/>
            <w:bookmarkEnd w:id="74"/>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63" w:type="dxa"/>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53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0"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80" w:type="dxa"/>
            <w:gridSpan w:val="2"/>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本页小计</w:t>
            </w:r>
          </w:p>
        </w:tc>
        <w:tc>
          <w:tcPr>
            <w:tcW w:w="1096" w:type="dxa"/>
            <w:tcBorders>
              <w:top w:val="single" w:color="000000" w:sz="4"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8405" w:type="dxa"/>
            <w:gridSpan w:val="9"/>
            <w:tcBorders>
              <w:top w:val="single" w:color="000000" w:sz="4" w:space="0"/>
              <w:left w:val="single" w:color="000000" w:sz="8" w:space="0"/>
              <w:bottom w:val="single" w:color="000000" w:sz="8" w:space="0"/>
              <w:right w:val="single" w:color="000000"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none" w:color="auto" w:sz="0" w:space="0"/>
                <w:lang w:val="en-US" w:eastAsia="zh-CN" w:bidi="ar"/>
              </w:rPr>
              <w:t>合   计</w:t>
            </w:r>
          </w:p>
        </w:tc>
        <w:tc>
          <w:tcPr>
            <w:tcW w:w="1096" w:type="dxa"/>
            <w:tcBorders>
              <w:top w:val="single" w:color="000000" w:sz="4" w:space="0"/>
              <w:left w:val="single" w:color="000000" w:sz="4" w:space="0"/>
              <w:bottom w:val="single" w:color="000000" w:sz="8" w:space="0"/>
              <w:right w:val="single" w:color="000000" w:sz="4"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8" w:space="0"/>
              <w:right w:val="single" w:color="000000" w:sz="8" w:space="0"/>
            </w:tcBorders>
            <w:shd w:val="clear" w:color="FFFFFF" w:fill="FFFFFF"/>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45" w:hRule="atLeast"/>
        </w:trPr>
        <w:tc>
          <w:tcPr>
            <w:tcW w:w="10410" w:type="dxa"/>
            <w:gridSpan w:val="11"/>
            <w:tcBorders>
              <w:top w:val="nil"/>
              <w:left w:val="nil"/>
              <w:bottom w:val="nil"/>
              <w:right w:val="nil"/>
            </w:tcBorders>
            <w:shd w:val="clear" w:color="FFFFFF" w:fill="FFFFFF"/>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注：为计取规费等的使用，可在表中增设其中：“定额人工费”。</w:t>
            </w:r>
          </w:p>
        </w:tc>
      </w:tr>
    </w:tbl>
    <w:p>
      <w:pPr>
        <w:keepNext w:val="0"/>
        <w:keepLines w:val="0"/>
        <w:pageBreakBefore w:val="0"/>
        <w:widowControl/>
        <w:kinsoku/>
        <w:wordWrap/>
        <w:overflowPunct/>
        <w:topLinePunct w:val="0"/>
        <w:bidi w:val="0"/>
        <w:adjustRightInd/>
        <w:snapToGrid/>
        <w:spacing w:line="480" w:lineRule="auto"/>
        <w:jc w:val="center"/>
        <w:rPr>
          <w:rFonts w:hint="default" w:ascii="宋体" w:hAnsi="宋体" w:eastAsia="宋体" w:cs="宋体"/>
          <w:b/>
          <w:bCs/>
          <w:color w:val="000000"/>
          <w:sz w:val="28"/>
          <w:szCs w:val="28"/>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00000002"/>
    <w:multiLevelType w:val="multilevel"/>
    <w:tmpl w:val="00000002"/>
    <w:lvl w:ilvl="0" w:tentative="0">
      <w:start w:val="7"/>
      <w:numFmt w:val="decimal"/>
      <w:lvlText w:val="%1．"/>
      <w:lvlJc w:val="left"/>
      <w:pPr>
        <w:ind w:left="375" w:hanging="375"/>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00000007"/>
    <w:multiLevelType w:val="multilevel"/>
    <w:tmpl w:val="00000007"/>
    <w:lvl w:ilvl="0" w:tentative="0">
      <w:start w:val="1"/>
      <w:numFmt w:val="decimal"/>
      <w:lvlText w:val="%1."/>
      <w:lvlJc w:val="left"/>
      <w:pPr>
        <w:tabs>
          <w:tab w:val="left" w:pos="907"/>
        </w:tabs>
        <w:ind w:left="907" w:hanging="567"/>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multilevel"/>
    <w:tmpl w:val="0000000B"/>
    <w:lvl w:ilvl="0" w:tentative="0">
      <w:start w:val="1"/>
      <w:numFmt w:val="decimal"/>
      <w:lvlText w:val="%1."/>
      <w:lvlJc w:val="left"/>
      <w:pPr>
        <w:tabs>
          <w:tab w:val="left" w:pos="1140"/>
        </w:tabs>
        <w:ind w:left="1140" w:hanging="420"/>
      </w:p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4">
    <w:nsid w:val="0000000F"/>
    <w:multiLevelType w:val="multilevel"/>
    <w:tmpl w:val="0000000F"/>
    <w:lvl w:ilvl="0" w:tentative="0">
      <w:start w:val="7"/>
      <w:numFmt w:val="decimal"/>
      <w:lvlText w:val="%1"/>
      <w:lvlJc w:val="left"/>
      <w:pPr>
        <w:ind w:left="360" w:hanging="360"/>
      </w:pPr>
      <w:rPr>
        <w:rFonts w:hint="default" w:cs="Times New Roman"/>
      </w:rPr>
    </w:lvl>
    <w:lvl w:ilvl="1" w:tentative="0">
      <w:start w:val="2"/>
      <w:numFmt w:val="decimal"/>
      <w:lvlText w:val="%1.%2"/>
      <w:lvlJc w:val="left"/>
      <w:pPr>
        <w:ind w:left="360" w:hanging="360"/>
      </w:pPr>
      <w:rPr>
        <w:rFonts w:hint="default" w:cs="Times New Roman"/>
      </w:rPr>
    </w:lvl>
    <w:lvl w:ilvl="2" w:tentative="0">
      <w:start w:val="1"/>
      <w:numFmt w:val="decimal"/>
      <w:lvlText w:val="%1.%2.%3"/>
      <w:lvlJc w:val="left"/>
      <w:pPr>
        <w:ind w:left="720" w:hanging="720"/>
      </w:pPr>
      <w:rPr>
        <w:rFonts w:hint="default" w:cs="Times New Roman"/>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5">
    <w:nsid w:val="00000010"/>
    <w:multiLevelType w:val="multilevel"/>
    <w:tmpl w:val="00000010"/>
    <w:lvl w:ilvl="0" w:tentative="0">
      <w:start w:val="7"/>
      <w:numFmt w:val="decimal"/>
      <w:lvlText w:val="%1"/>
      <w:lvlJc w:val="left"/>
      <w:pPr>
        <w:ind w:left="360" w:hanging="360"/>
      </w:pPr>
      <w:rPr>
        <w:rFonts w:hint="default" w:cs="Times New Roman"/>
      </w:rPr>
    </w:lvl>
    <w:lvl w:ilvl="1" w:tentative="0">
      <w:start w:val="1"/>
      <w:numFmt w:val="decimal"/>
      <w:lvlText w:val="%1.%2"/>
      <w:lvlJc w:val="left"/>
      <w:pPr>
        <w:ind w:left="360" w:hanging="360"/>
      </w:pPr>
      <w:rPr>
        <w:rFonts w:hint="default" w:cs="Times New Roman"/>
      </w:rPr>
    </w:lvl>
    <w:lvl w:ilvl="2" w:tentative="0">
      <w:start w:val="1"/>
      <w:numFmt w:val="decimal"/>
      <w:lvlText w:val="%1.%2.%3"/>
      <w:lvlJc w:val="left"/>
      <w:pPr>
        <w:ind w:left="720" w:hanging="720"/>
      </w:pPr>
      <w:rPr>
        <w:rFonts w:hint="default" w:cs="Times New Roman"/>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6">
    <w:nsid w:val="00000011"/>
    <w:multiLevelType w:val="multilevel"/>
    <w:tmpl w:val="00000011"/>
    <w:lvl w:ilvl="0" w:tentative="0">
      <w:start w:val="1"/>
      <w:numFmt w:val="decimal"/>
      <w:lvlText w:val="%1）"/>
      <w:lvlJc w:val="left"/>
      <w:pPr>
        <w:tabs>
          <w:tab w:val="left" w:pos="360"/>
        </w:tabs>
        <w:ind w:left="360" w:hanging="360"/>
      </w:pPr>
      <w:rPr>
        <w:rFonts w:hint="default" w:cs="Times New Roman"/>
      </w:rPr>
    </w:lvl>
    <w:lvl w:ilvl="1" w:tentative="0">
      <w:start w:val="11"/>
      <w:numFmt w:val="decimal"/>
      <w:lvlText w:val="%2)"/>
      <w:lvlJc w:val="left"/>
      <w:pPr>
        <w:tabs>
          <w:tab w:val="left" w:pos="780"/>
        </w:tabs>
        <w:ind w:left="780" w:hanging="360"/>
      </w:pPr>
      <w:rPr>
        <w:rFonts w:hint="default" w:cs="Times New Roman"/>
      </w:rPr>
    </w:lvl>
    <w:lvl w:ilvl="2" w:tentative="0">
      <w:start w:val="11"/>
      <w:numFmt w:val="decimal"/>
      <w:lvlText w:val="%3．"/>
      <w:lvlJc w:val="left"/>
      <w:pPr>
        <w:tabs>
          <w:tab w:val="left" w:pos="1245"/>
        </w:tabs>
        <w:ind w:left="1245" w:hanging="405"/>
      </w:pPr>
      <w:rPr>
        <w:rFonts w:hint="default" w:cs="Times New Roman"/>
      </w:rPr>
    </w:lvl>
    <w:lvl w:ilvl="3" w:tentative="0">
      <w:start w:val="3"/>
      <w:numFmt w:val="japaneseCounting"/>
      <w:lvlText w:val="第%4章"/>
      <w:lvlJc w:val="left"/>
      <w:pPr>
        <w:tabs>
          <w:tab w:val="left" w:pos="2535"/>
        </w:tabs>
        <w:ind w:left="2535" w:hanging="1275"/>
      </w:pPr>
      <w:rPr>
        <w:rFonts w:hint="default" w:cs="Times New Roman"/>
      </w:rPr>
    </w:lvl>
    <w:lvl w:ilvl="4" w:tentative="0">
      <w:start w:val="1"/>
      <w:numFmt w:val="japaneseCounting"/>
      <w:lvlText w:val="%5、"/>
      <w:lvlJc w:val="left"/>
      <w:pPr>
        <w:tabs>
          <w:tab w:val="left" w:pos="2160"/>
        </w:tabs>
        <w:ind w:left="2160" w:hanging="480"/>
      </w:pPr>
      <w:rPr>
        <w:rFonts w:hint="default"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12"/>
    <w:multiLevelType w:val="multilevel"/>
    <w:tmpl w:val="00000012"/>
    <w:lvl w:ilvl="0" w:tentative="0">
      <w:start w:val="1"/>
      <w:numFmt w:val="decimal"/>
      <w:lvlText w:val="%1."/>
      <w:lvlJc w:val="left"/>
      <w:pPr>
        <w:tabs>
          <w:tab w:val="left" w:pos="737"/>
        </w:tabs>
        <w:ind w:left="737" w:hanging="737"/>
      </w:pPr>
      <w:rPr>
        <w:rFonts w:hint="eastAsia" w:ascii="宋体" w:eastAsia="宋体" w:cs="Times New Roman"/>
        <w:b/>
        <w:i w:val="0"/>
        <w:sz w:val="24"/>
      </w:rPr>
    </w:lvl>
    <w:lvl w:ilvl="1" w:tentative="0">
      <w:start w:val="1"/>
      <w:numFmt w:val="decimal"/>
      <w:lvlText w:val="%1.%2"/>
      <w:lvlJc w:val="left"/>
      <w:pPr>
        <w:tabs>
          <w:tab w:val="left" w:pos="737"/>
        </w:tabs>
        <w:ind w:left="737" w:hanging="737"/>
      </w:pPr>
      <w:rPr>
        <w:rFonts w:hint="eastAsia" w:ascii="宋体" w:eastAsia="宋体" w:cs="Times New Roman"/>
        <w:b w:val="0"/>
        <w:i w:val="0"/>
        <w:color w:val="000000"/>
        <w:sz w:val="24"/>
      </w:rPr>
    </w:lvl>
    <w:lvl w:ilvl="2" w:tentative="0">
      <w:start w:val="1"/>
      <w:numFmt w:val="decimal"/>
      <w:lvlText w:val="%1.%2.%3"/>
      <w:lvlJc w:val="left"/>
      <w:pPr>
        <w:tabs>
          <w:tab w:val="left" w:pos="737"/>
        </w:tabs>
        <w:ind w:left="737" w:hanging="737"/>
      </w:pPr>
      <w:rPr>
        <w:rFonts w:hint="eastAsia" w:ascii="宋体" w:eastAsia="宋体" w:cs="Times New Roman"/>
        <w:b w:val="0"/>
        <w:i w:val="0"/>
        <w:sz w:val="24"/>
      </w:rPr>
    </w:lvl>
    <w:lvl w:ilvl="3" w:tentative="0">
      <w:start w:val="1"/>
      <w:numFmt w:val="decimal"/>
      <w:lvlText w:val="%1.%2.%3.%4"/>
      <w:lvlJc w:val="left"/>
      <w:pPr>
        <w:tabs>
          <w:tab w:val="left" w:pos="737"/>
        </w:tabs>
        <w:ind w:left="737" w:hanging="737"/>
      </w:pPr>
      <w:rPr>
        <w:rFonts w:hint="eastAsia" w:ascii="宋体" w:eastAsia="宋体" w:cs="Times New Roman"/>
        <w:b w:val="0"/>
        <w:i w:val="0"/>
        <w:sz w:val="24"/>
      </w:rPr>
    </w:lvl>
    <w:lvl w:ilvl="4" w:tentative="0">
      <w:start w:val="1"/>
      <w:numFmt w:val="decimal"/>
      <w:lvlText w:val="%1.%2.%3.%4.%5"/>
      <w:lvlJc w:val="left"/>
      <w:pPr>
        <w:tabs>
          <w:tab w:val="left" w:pos="1080"/>
        </w:tabs>
        <w:ind w:left="851" w:hanging="851"/>
      </w:pPr>
      <w:rPr>
        <w:rFonts w:hint="eastAsia" w:ascii="宋体" w:eastAsia="宋体" w:cs="Times New Roman"/>
        <w:b w:val="0"/>
        <w:i w:val="0"/>
        <w:sz w:val="24"/>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8">
    <w:nsid w:val="00000013"/>
    <w:multiLevelType w:val="multilevel"/>
    <w:tmpl w:val="00000013"/>
    <w:lvl w:ilvl="0" w:tentative="0">
      <w:start w:val="1"/>
      <w:numFmt w:val="decimal"/>
      <w:lvlText w:val="%1）"/>
      <w:lvlJc w:val="left"/>
      <w:pPr>
        <w:tabs>
          <w:tab w:val="left" w:pos="780"/>
        </w:tabs>
        <w:ind w:left="78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4"/>
    <w:multiLevelType w:val="multilevel"/>
    <w:tmpl w:val="00000014"/>
    <w:lvl w:ilvl="0" w:tentative="0">
      <w:start w:val="1"/>
      <w:numFmt w:val="decimal"/>
      <w:lvlText w:val="%1）"/>
      <w:lvlJc w:val="left"/>
      <w:pPr>
        <w:tabs>
          <w:tab w:val="left" w:pos="360"/>
        </w:tabs>
        <w:ind w:left="360" w:hanging="360"/>
      </w:pPr>
      <w:rPr>
        <w:rFonts w:hint="default" w:cs="Times New Roman"/>
      </w:rPr>
    </w:lvl>
    <w:lvl w:ilvl="1" w:tentative="0">
      <w:start w:val="11"/>
      <w:numFmt w:val="decimal"/>
      <w:lvlText w:val="%2)"/>
      <w:lvlJc w:val="left"/>
      <w:pPr>
        <w:tabs>
          <w:tab w:val="left" w:pos="780"/>
        </w:tabs>
        <w:ind w:left="780" w:hanging="360"/>
      </w:pPr>
      <w:rPr>
        <w:rFonts w:hint="default" w:cs="Times New Roman"/>
      </w:rPr>
    </w:lvl>
    <w:lvl w:ilvl="2" w:tentative="0">
      <w:start w:val="11"/>
      <w:numFmt w:val="decimal"/>
      <w:lvlText w:val="%3．"/>
      <w:lvlJc w:val="left"/>
      <w:pPr>
        <w:tabs>
          <w:tab w:val="left" w:pos="1245"/>
        </w:tabs>
        <w:ind w:left="1245" w:hanging="405"/>
      </w:pPr>
      <w:rPr>
        <w:rFonts w:hint="default" w:cs="Times New Roman"/>
      </w:rPr>
    </w:lvl>
    <w:lvl w:ilvl="3" w:tentative="0">
      <w:start w:val="3"/>
      <w:numFmt w:val="japaneseCounting"/>
      <w:lvlText w:val="第%4章"/>
      <w:lvlJc w:val="left"/>
      <w:pPr>
        <w:tabs>
          <w:tab w:val="left" w:pos="2535"/>
        </w:tabs>
        <w:ind w:left="2535" w:hanging="1275"/>
      </w:pPr>
      <w:rPr>
        <w:rFonts w:hint="default" w:cs="Times New Roman"/>
      </w:rPr>
    </w:lvl>
    <w:lvl w:ilvl="4" w:tentative="0">
      <w:start w:val="1"/>
      <w:numFmt w:val="japaneseCounting"/>
      <w:lvlText w:val="%5、"/>
      <w:lvlJc w:val="left"/>
      <w:pPr>
        <w:tabs>
          <w:tab w:val="left" w:pos="2160"/>
        </w:tabs>
        <w:ind w:left="2160" w:hanging="480"/>
      </w:pPr>
      <w:rPr>
        <w:rFonts w:hint="default"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0000023"/>
    <w:multiLevelType w:val="multilevel"/>
    <w:tmpl w:val="00000023"/>
    <w:lvl w:ilvl="0" w:tentative="0">
      <w:start w:val="3"/>
      <w:numFmt w:val="decimal"/>
      <w:lvlText w:val="%1."/>
      <w:lvlJc w:val="left"/>
      <w:pPr>
        <w:tabs>
          <w:tab w:val="left" w:pos="907"/>
        </w:tabs>
        <w:ind w:left="907" w:hanging="567"/>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9824A79"/>
    <w:multiLevelType w:val="singleLevel"/>
    <w:tmpl w:val="29824A79"/>
    <w:lvl w:ilvl="0" w:tentative="0">
      <w:start w:val="1"/>
      <w:numFmt w:val="decimal"/>
      <w:suff w:val="nothing"/>
      <w:lvlText w:val="%1、"/>
      <w:lvlJc w:val="left"/>
    </w:lvl>
  </w:abstractNum>
  <w:abstractNum w:abstractNumId="12">
    <w:nsid w:val="4CF48197"/>
    <w:multiLevelType w:val="singleLevel"/>
    <w:tmpl w:val="4CF48197"/>
    <w:lvl w:ilvl="0" w:tentative="0">
      <w:start w:val="1"/>
      <w:numFmt w:val="decimal"/>
      <w:suff w:val="nothing"/>
      <w:lvlText w:val="%1、"/>
      <w:lvlJc w:val="left"/>
    </w:lvl>
  </w:abstractNum>
  <w:num w:numId="1">
    <w:abstractNumId w:val="11"/>
  </w:num>
  <w:num w:numId="2">
    <w:abstractNumId w:val="9"/>
  </w:num>
  <w:num w:numId="3">
    <w:abstractNumId w:val="6"/>
  </w:num>
  <w:num w:numId="4">
    <w:abstractNumId w:val="0"/>
  </w:num>
  <w:num w:numId="5">
    <w:abstractNumId w:val="7"/>
  </w:num>
  <w:num w:numId="6">
    <w:abstractNumId w:val="1"/>
  </w:num>
  <w:num w:numId="7">
    <w:abstractNumId w:val="5"/>
  </w:num>
  <w:num w:numId="8">
    <w:abstractNumId w:val="4"/>
  </w:num>
  <w:num w:numId="9">
    <w:abstractNumId w:val="8"/>
  </w:num>
  <w:num w:numId="10">
    <w:abstractNumId w:val="2"/>
    <w:lvlOverride w:ilvl="0">
      <w:startOverride w:val="1"/>
    </w:lvlOverride>
  </w:num>
  <w:num w:numId="11">
    <w:abstractNumId w:val="10"/>
    <w:lvlOverride w:ilvl="0">
      <w:startOverride w:val="3"/>
    </w:lvlOverride>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F216D"/>
    <w:rsid w:val="00195E37"/>
    <w:rsid w:val="00E142BF"/>
    <w:rsid w:val="011F409F"/>
    <w:rsid w:val="01460837"/>
    <w:rsid w:val="01470524"/>
    <w:rsid w:val="01865DE9"/>
    <w:rsid w:val="01F437AC"/>
    <w:rsid w:val="021913C7"/>
    <w:rsid w:val="026F4E67"/>
    <w:rsid w:val="02E930F5"/>
    <w:rsid w:val="031E7A2C"/>
    <w:rsid w:val="03720762"/>
    <w:rsid w:val="03922CFB"/>
    <w:rsid w:val="039E3918"/>
    <w:rsid w:val="04336242"/>
    <w:rsid w:val="045474D0"/>
    <w:rsid w:val="046F2BD7"/>
    <w:rsid w:val="04DE3669"/>
    <w:rsid w:val="050A4B72"/>
    <w:rsid w:val="05B209BF"/>
    <w:rsid w:val="05C06E7D"/>
    <w:rsid w:val="06753596"/>
    <w:rsid w:val="067E21C8"/>
    <w:rsid w:val="068664F8"/>
    <w:rsid w:val="07436308"/>
    <w:rsid w:val="07A710C6"/>
    <w:rsid w:val="07D837B0"/>
    <w:rsid w:val="07DD7D56"/>
    <w:rsid w:val="07F15959"/>
    <w:rsid w:val="081D5105"/>
    <w:rsid w:val="08587071"/>
    <w:rsid w:val="087702E7"/>
    <w:rsid w:val="08B83247"/>
    <w:rsid w:val="097224F0"/>
    <w:rsid w:val="09D21B8D"/>
    <w:rsid w:val="09DB7BB6"/>
    <w:rsid w:val="09DE148E"/>
    <w:rsid w:val="09F6228F"/>
    <w:rsid w:val="0A30232F"/>
    <w:rsid w:val="0A31653D"/>
    <w:rsid w:val="0A456B9A"/>
    <w:rsid w:val="0A4A6DE6"/>
    <w:rsid w:val="0A5565FB"/>
    <w:rsid w:val="0A5D5092"/>
    <w:rsid w:val="0A9B15CA"/>
    <w:rsid w:val="0AF30425"/>
    <w:rsid w:val="0B574BD8"/>
    <w:rsid w:val="0BA72584"/>
    <w:rsid w:val="0BDD2580"/>
    <w:rsid w:val="0C6D7A96"/>
    <w:rsid w:val="0C7665B7"/>
    <w:rsid w:val="0C7B65CC"/>
    <w:rsid w:val="0CAA7036"/>
    <w:rsid w:val="0CAE7DC6"/>
    <w:rsid w:val="0CF66913"/>
    <w:rsid w:val="0D1E46AB"/>
    <w:rsid w:val="0D2A34DF"/>
    <w:rsid w:val="0D4820C4"/>
    <w:rsid w:val="0D683566"/>
    <w:rsid w:val="0D8D7BBF"/>
    <w:rsid w:val="0DDC656C"/>
    <w:rsid w:val="0DEC6C8C"/>
    <w:rsid w:val="0E737D08"/>
    <w:rsid w:val="0E7C2769"/>
    <w:rsid w:val="0EDB1156"/>
    <w:rsid w:val="0F205E67"/>
    <w:rsid w:val="0F3F695C"/>
    <w:rsid w:val="0F6317B0"/>
    <w:rsid w:val="0F82711A"/>
    <w:rsid w:val="0F846010"/>
    <w:rsid w:val="0FB9694E"/>
    <w:rsid w:val="0FC80A29"/>
    <w:rsid w:val="0FC96E5A"/>
    <w:rsid w:val="0FCE3CB6"/>
    <w:rsid w:val="0FDD2225"/>
    <w:rsid w:val="10186858"/>
    <w:rsid w:val="10306D99"/>
    <w:rsid w:val="103C7256"/>
    <w:rsid w:val="10C871A1"/>
    <w:rsid w:val="11191B92"/>
    <w:rsid w:val="11350D16"/>
    <w:rsid w:val="115D19F7"/>
    <w:rsid w:val="11D54AAE"/>
    <w:rsid w:val="11F859D3"/>
    <w:rsid w:val="120E40AA"/>
    <w:rsid w:val="12387C7A"/>
    <w:rsid w:val="123E5FEB"/>
    <w:rsid w:val="125B5AD9"/>
    <w:rsid w:val="12A356CF"/>
    <w:rsid w:val="12FB5896"/>
    <w:rsid w:val="13071596"/>
    <w:rsid w:val="130B4087"/>
    <w:rsid w:val="1342689C"/>
    <w:rsid w:val="137C26DA"/>
    <w:rsid w:val="13BC032B"/>
    <w:rsid w:val="13D95D13"/>
    <w:rsid w:val="142F6EAF"/>
    <w:rsid w:val="14972312"/>
    <w:rsid w:val="14C532EF"/>
    <w:rsid w:val="14CA5487"/>
    <w:rsid w:val="153251C7"/>
    <w:rsid w:val="15B57F58"/>
    <w:rsid w:val="15F322E7"/>
    <w:rsid w:val="16115DD2"/>
    <w:rsid w:val="16230907"/>
    <w:rsid w:val="162A79E3"/>
    <w:rsid w:val="163C661C"/>
    <w:rsid w:val="16703761"/>
    <w:rsid w:val="16964BD6"/>
    <w:rsid w:val="16A13738"/>
    <w:rsid w:val="16AE51EF"/>
    <w:rsid w:val="16D66771"/>
    <w:rsid w:val="17256E3B"/>
    <w:rsid w:val="172F38C1"/>
    <w:rsid w:val="17573496"/>
    <w:rsid w:val="17820820"/>
    <w:rsid w:val="179D2249"/>
    <w:rsid w:val="17F07F72"/>
    <w:rsid w:val="18446F79"/>
    <w:rsid w:val="1850592B"/>
    <w:rsid w:val="186854C4"/>
    <w:rsid w:val="18714798"/>
    <w:rsid w:val="187B4104"/>
    <w:rsid w:val="18865E24"/>
    <w:rsid w:val="18905346"/>
    <w:rsid w:val="18B6061C"/>
    <w:rsid w:val="18FB0CD3"/>
    <w:rsid w:val="19122F17"/>
    <w:rsid w:val="198A089D"/>
    <w:rsid w:val="198B7DAB"/>
    <w:rsid w:val="19A01DB8"/>
    <w:rsid w:val="19E314CE"/>
    <w:rsid w:val="1A4C696E"/>
    <w:rsid w:val="1A767F45"/>
    <w:rsid w:val="1ABC3205"/>
    <w:rsid w:val="1AF036D1"/>
    <w:rsid w:val="1B0D17A8"/>
    <w:rsid w:val="1BB1166E"/>
    <w:rsid w:val="1BD47815"/>
    <w:rsid w:val="1BE4464A"/>
    <w:rsid w:val="1C7B129D"/>
    <w:rsid w:val="1C852B8E"/>
    <w:rsid w:val="1CD96222"/>
    <w:rsid w:val="1CDE600E"/>
    <w:rsid w:val="1CE60BBF"/>
    <w:rsid w:val="1D59152D"/>
    <w:rsid w:val="1D6435A7"/>
    <w:rsid w:val="1DD67C72"/>
    <w:rsid w:val="1DE07145"/>
    <w:rsid w:val="1E09776E"/>
    <w:rsid w:val="1EAE5422"/>
    <w:rsid w:val="1F103E6C"/>
    <w:rsid w:val="1F1F648D"/>
    <w:rsid w:val="1F264892"/>
    <w:rsid w:val="1FDA5344"/>
    <w:rsid w:val="1FE6698E"/>
    <w:rsid w:val="205D0996"/>
    <w:rsid w:val="2094647F"/>
    <w:rsid w:val="20BE0D23"/>
    <w:rsid w:val="20ED3C52"/>
    <w:rsid w:val="20F0660C"/>
    <w:rsid w:val="20F5406B"/>
    <w:rsid w:val="216B7156"/>
    <w:rsid w:val="21A7361E"/>
    <w:rsid w:val="21E71E39"/>
    <w:rsid w:val="227165A9"/>
    <w:rsid w:val="22891F58"/>
    <w:rsid w:val="22D80EB3"/>
    <w:rsid w:val="2343223B"/>
    <w:rsid w:val="23D42957"/>
    <w:rsid w:val="2409522F"/>
    <w:rsid w:val="241473D3"/>
    <w:rsid w:val="24B12FC4"/>
    <w:rsid w:val="24C35E13"/>
    <w:rsid w:val="2501429E"/>
    <w:rsid w:val="252D5EAF"/>
    <w:rsid w:val="253B1C58"/>
    <w:rsid w:val="25563BF2"/>
    <w:rsid w:val="25F36A29"/>
    <w:rsid w:val="2634037B"/>
    <w:rsid w:val="2635699A"/>
    <w:rsid w:val="263616EF"/>
    <w:rsid w:val="26C167B2"/>
    <w:rsid w:val="26C44D6E"/>
    <w:rsid w:val="26FB649D"/>
    <w:rsid w:val="27121B7C"/>
    <w:rsid w:val="2762562D"/>
    <w:rsid w:val="27735068"/>
    <w:rsid w:val="27AB05F4"/>
    <w:rsid w:val="27F719AD"/>
    <w:rsid w:val="27FD029F"/>
    <w:rsid w:val="28057D70"/>
    <w:rsid w:val="28592C9D"/>
    <w:rsid w:val="28714523"/>
    <w:rsid w:val="288B5FC7"/>
    <w:rsid w:val="28936A1B"/>
    <w:rsid w:val="28B01C24"/>
    <w:rsid w:val="28F62E9C"/>
    <w:rsid w:val="290504E3"/>
    <w:rsid w:val="291800D1"/>
    <w:rsid w:val="294C5183"/>
    <w:rsid w:val="2960074E"/>
    <w:rsid w:val="29C847AE"/>
    <w:rsid w:val="2A01523F"/>
    <w:rsid w:val="2A1E4C37"/>
    <w:rsid w:val="2A220F01"/>
    <w:rsid w:val="2A4C7E55"/>
    <w:rsid w:val="2A604741"/>
    <w:rsid w:val="2A871311"/>
    <w:rsid w:val="2A9112FB"/>
    <w:rsid w:val="2AD9473F"/>
    <w:rsid w:val="2AF0539F"/>
    <w:rsid w:val="2B863E4F"/>
    <w:rsid w:val="2BB76CC0"/>
    <w:rsid w:val="2BDB5F63"/>
    <w:rsid w:val="2BE30E78"/>
    <w:rsid w:val="2C125D58"/>
    <w:rsid w:val="2C251083"/>
    <w:rsid w:val="2C431E99"/>
    <w:rsid w:val="2C4C4FBE"/>
    <w:rsid w:val="2C6752D5"/>
    <w:rsid w:val="2C6E334B"/>
    <w:rsid w:val="2C9B3E36"/>
    <w:rsid w:val="2D012120"/>
    <w:rsid w:val="2D2C2608"/>
    <w:rsid w:val="2D42346E"/>
    <w:rsid w:val="2D9C3EFF"/>
    <w:rsid w:val="2DBA04DB"/>
    <w:rsid w:val="2DBF69A0"/>
    <w:rsid w:val="2DC25067"/>
    <w:rsid w:val="2DF721BB"/>
    <w:rsid w:val="2E0369F7"/>
    <w:rsid w:val="2EC6401B"/>
    <w:rsid w:val="2EFD556A"/>
    <w:rsid w:val="2F001AE9"/>
    <w:rsid w:val="2F5562AA"/>
    <w:rsid w:val="2F8507E0"/>
    <w:rsid w:val="2F9D76AE"/>
    <w:rsid w:val="30101BD5"/>
    <w:rsid w:val="30191A3D"/>
    <w:rsid w:val="31353DEB"/>
    <w:rsid w:val="313E7E9F"/>
    <w:rsid w:val="315765CD"/>
    <w:rsid w:val="31A27D30"/>
    <w:rsid w:val="31DB150E"/>
    <w:rsid w:val="31EA4437"/>
    <w:rsid w:val="32940B9A"/>
    <w:rsid w:val="329A628B"/>
    <w:rsid w:val="32A90770"/>
    <w:rsid w:val="32DC728F"/>
    <w:rsid w:val="3306053E"/>
    <w:rsid w:val="330B507B"/>
    <w:rsid w:val="33321E29"/>
    <w:rsid w:val="33644450"/>
    <w:rsid w:val="337175EB"/>
    <w:rsid w:val="33981E3A"/>
    <w:rsid w:val="33AC1F18"/>
    <w:rsid w:val="33B43F1D"/>
    <w:rsid w:val="33BF4516"/>
    <w:rsid w:val="33D4129C"/>
    <w:rsid w:val="346236DD"/>
    <w:rsid w:val="346A59E7"/>
    <w:rsid w:val="34C84D1A"/>
    <w:rsid w:val="34D80689"/>
    <w:rsid w:val="34EE6C34"/>
    <w:rsid w:val="34F30760"/>
    <w:rsid w:val="35081A18"/>
    <w:rsid w:val="35267D84"/>
    <w:rsid w:val="35304570"/>
    <w:rsid w:val="354C5B44"/>
    <w:rsid w:val="35776BE2"/>
    <w:rsid w:val="362519CA"/>
    <w:rsid w:val="362C23F4"/>
    <w:rsid w:val="36F130F1"/>
    <w:rsid w:val="379A1755"/>
    <w:rsid w:val="381D3694"/>
    <w:rsid w:val="383E66B6"/>
    <w:rsid w:val="38505AAE"/>
    <w:rsid w:val="388F3A29"/>
    <w:rsid w:val="38BA0DC3"/>
    <w:rsid w:val="38F80C29"/>
    <w:rsid w:val="3992404A"/>
    <w:rsid w:val="3994262E"/>
    <w:rsid w:val="39C62812"/>
    <w:rsid w:val="39FF1992"/>
    <w:rsid w:val="3A213319"/>
    <w:rsid w:val="3A62569A"/>
    <w:rsid w:val="3A8223F3"/>
    <w:rsid w:val="3AB645AF"/>
    <w:rsid w:val="3AF044AC"/>
    <w:rsid w:val="3B09500F"/>
    <w:rsid w:val="3B1A24EA"/>
    <w:rsid w:val="3B374CFB"/>
    <w:rsid w:val="3B3D4F09"/>
    <w:rsid w:val="3B7E11D6"/>
    <w:rsid w:val="3B973EF9"/>
    <w:rsid w:val="3BC9115C"/>
    <w:rsid w:val="3C030553"/>
    <w:rsid w:val="3C194E09"/>
    <w:rsid w:val="3CB810F8"/>
    <w:rsid w:val="3CC3196C"/>
    <w:rsid w:val="3D082574"/>
    <w:rsid w:val="3D1A7C20"/>
    <w:rsid w:val="3D5D25B0"/>
    <w:rsid w:val="3E6F59EC"/>
    <w:rsid w:val="3E997131"/>
    <w:rsid w:val="3EB63F30"/>
    <w:rsid w:val="3EE034F7"/>
    <w:rsid w:val="3F252B8D"/>
    <w:rsid w:val="3F3F4E4D"/>
    <w:rsid w:val="3F474B5A"/>
    <w:rsid w:val="3F620996"/>
    <w:rsid w:val="3F6D613E"/>
    <w:rsid w:val="3F8D0279"/>
    <w:rsid w:val="3FC77B6D"/>
    <w:rsid w:val="3FCD67C8"/>
    <w:rsid w:val="3FFE1CB7"/>
    <w:rsid w:val="40F62893"/>
    <w:rsid w:val="41227B35"/>
    <w:rsid w:val="41244CE1"/>
    <w:rsid w:val="412504DE"/>
    <w:rsid w:val="4131578D"/>
    <w:rsid w:val="414F19B2"/>
    <w:rsid w:val="41B00B45"/>
    <w:rsid w:val="41C50384"/>
    <w:rsid w:val="42115D2E"/>
    <w:rsid w:val="423A3F3B"/>
    <w:rsid w:val="426416BD"/>
    <w:rsid w:val="43120F92"/>
    <w:rsid w:val="43923F34"/>
    <w:rsid w:val="43BB078C"/>
    <w:rsid w:val="43C50072"/>
    <w:rsid w:val="44600397"/>
    <w:rsid w:val="44697D2F"/>
    <w:rsid w:val="446B4AF0"/>
    <w:rsid w:val="449B1B62"/>
    <w:rsid w:val="449C0135"/>
    <w:rsid w:val="44A77B78"/>
    <w:rsid w:val="44D045E9"/>
    <w:rsid w:val="44E65D2E"/>
    <w:rsid w:val="44F15C8D"/>
    <w:rsid w:val="451A1357"/>
    <w:rsid w:val="45282CF0"/>
    <w:rsid w:val="454B0D71"/>
    <w:rsid w:val="45643039"/>
    <w:rsid w:val="456F0B63"/>
    <w:rsid w:val="457059F2"/>
    <w:rsid w:val="45717871"/>
    <w:rsid w:val="458D5188"/>
    <w:rsid w:val="458F0ACA"/>
    <w:rsid w:val="46605C78"/>
    <w:rsid w:val="46631BC6"/>
    <w:rsid w:val="469C68E5"/>
    <w:rsid w:val="46B432E5"/>
    <w:rsid w:val="46BA7BC2"/>
    <w:rsid w:val="46C5012F"/>
    <w:rsid w:val="46E866C3"/>
    <w:rsid w:val="47117C6F"/>
    <w:rsid w:val="47A17021"/>
    <w:rsid w:val="47D57461"/>
    <w:rsid w:val="47E45094"/>
    <w:rsid w:val="480663C1"/>
    <w:rsid w:val="4825595C"/>
    <w:rsid w:val="484830F3"/>
    <w:rsid w:val="48593A76"/>
    <w:rsid w:val="48C7147B"/>
    <w:rsid w:val="48C8515A"/>
    <w:rsid w:val="49094727"/>
    <w:rsid w:val="494167F6"/>
    <w:rsid w:val="4945778B"/>
    <w:rsid w:val="497A48A5"/>
    <w:rsid w:val="49D40775"/>
    <w:rsid w:val="49E84648"/>
    <w:rsid w:val="49EC71DB"/>
    <w:rsid w:val="4A2307B3"/>
    <w:rsid w:val="4A574E14"/>
    <w:rsid w:val="4A877BA4"/>
    <w:rsid w:val="4A932827"/>
    <w:rsid w:val="4AD80E6C"/>
    <w:rsid w:val="4B5E5EFF"/>
    <w:rsid w:val="4B783A72"/>
    <w:rsid w:val="4BDA497D"/>
    <w:rsid w:val="4C0C3487"/>
    <w:rsid w:val="4C384354"/>
    <w:rsid w:val="4C686D20"/>
    <w:rsid w:val="4C80765B"/>
    <w:rsid w:val="4CED3EBC"/>
    <w:rsid w:val="4CFF15E1"/>
    <w:rsid w:val="4D5F3472"/>
    <w:rsid w:val="4D697F3C"/>
    <w:rsid w:val="4D7540D2"/>
    <w:rsid w:val="4DB417CB"/>
    <w:rsid w:val="4DE75221"/>
    <w:rsid w:val="4E1A7FAC"/>
    <w:rsid w:val="4E2B7F7B"/>
    <w:rsid w:val="4E414AC0"/>
    <w:rsid w:val="4E56160D"/>
    <w:rsid w:val="4E810C68"/>
    <w:rsid w:val="4E8F1EDE"/>
    <w:rsid w:val="4E980569"/>
    <w:rsid w:val="4EF80CAD"/>
    <w:rsid w:val="4EF92B6D"/>
    <w:rsid w:val="4F4718E9"/>
    <w:rsid w:val="4FA12AC7"/>
    <w:rsid w:val="4FA4477A"/>
    <w:rsid w:val="4FE813D1"/>
    <w:rsid w:val="50260AE4"/>
    <w:rsid w:val="503C7691"/>
    <w:rsid w:val="50564CE9"/>
    <w:rsid w:val="506F3CD6"/>
    <w:rsid w:val="50740104"/>
    <w:rsid w:val="50C070C1"/>
    <w:rsid w:val="50C176DA"/>
    <w:rsid w:val="510F648B"/>
    <w:rsid w:val="512D0FFC"/>
    <w:rsid w:val="5133171D"/>
    <w:rsid w:val="517F4A25"/>
    <w:rsid w:val="51915F0D"/>
    <w:rsid w:val="51A8350A"/>
    <w:rsid w:val="52110D3A"/>
    <w:rsid w:val="526438F9"/>
    <w:rsid w:val="52866B04"/>
    <w:rsid w:val="52876056"/>
    <w:rsid w:val="529166B1"/>
    <w:rsid w:val="533337A1"/>
    <w:rsid w:val="53C04DE3"/>
    <w:rsid w:val="54297934"/>
    <w:rsid w:val="54340C6D"/>
    <w:rsid w:val="54437A19"/>
    <w:rsid w:val="544C2ACE"/>
    <w:rsid w:val="546C6888"/>
    <w:rsid w:val="548B2DB2"/>
    <w:rsid w:val="5493551C"/>
    <w:rsid w:val="549C012F"/>
    <w:rsid w:val="54B41DAA"/>
    <w:rsid w:val="55157782"/>
    <w:rsid w:val="55350D0B"/>
    <w:rsid w:val="55477281"/>
    <w:rsid w:val="554D6AC4"/>
    <w:rsid w:val="55573474"/>
    <w:rsid w:val="55626833"/>
    <w:rsid w:val="55AE23FF"/>
    <w:rsid w:val="55BD74F7"/>
    <w:rsid w:val="56B221CD"/>
    <w:rsid w:val="56C93E0D"/>
    <w:rsid w:val="56D86949"/>
    <w:rsid w:val="57A04389"/>
    <w:rsid w:val="58527CE4"/>
    <w:rsid w:val="58964200"/>
    <w:rsid w:val="59085CEF"/>
    <w:rsid w:val="594D7378"/>
    <w:rsid w:val="59875E11"/>
    <w:rsid w:val="59AA7E76"/>
    <w:rsid w:val="59E6677B"/>
    <w:rsid w:val="5A123A29"/>
    <w:rsid w:val="5A61775A"/>
    <w:rsid w:val="5B5113B6"/>
    <w:rsid w:val="5B7640A5"/>
    <w:rsid w:val="5BE866DA"/>
    <w:rsid w:val="5C22284F"/>
    <w:rsid w:val="5CF523DA"/>
    <w:rsid w:val="5D4916C7"/>
    <w:rsid w:val="5DB848E6"/>
    <w:rsid w:val="5DD53D46"/>
    <w:rsid w:val="5E0973D6"/>
    <w:rsid w:val="5E990BE2"/>
    <w:rsid w:val="5EBC171C"/>
    <w:rsid w:val="5F2469E2"/>
    <w:rsid w:val="5F447C52"/>
    <w:rsid w:val="5F53371E"/>
    <w:rsid w:val="5FB164AE"/>
    <w:rsid w:val="605B35EF"/>
    <w:rsid w:val="60E63285"/>
    <w:rsid w:val="60F168A8"/>
    <w:rsid w:val="61214088"/>
    <w:rsid w:val="616B19DD"/>
    <w:rsid w:val="61A03A66"/>
    <w:rsid w:val="61A1496A"/>
    <w:rsid w:val="61DE20F4"/>
    <w:rsid w:val="62046ABD"/>
    <w:rsid w:val="62074014"/>
    <w:rsid w:val="62122545"/>
    <w:rsid w:val="622A7C19"/>
    <w:rsid w:val="622E1844"/>
    <w:rsid w:val="62550D57"/>
    <w:rsid w:val="626F5B2A"/>
    <w:rsid w:val="628C19B8"/>
    <w:rsid w:val="62995B3C"/>
    <w:rsid w:val="62A114D0"/>
    <w:rsid w:val="62C64C33"/>
    <w:rsid w:val="62D031A3"/>
    <w:rsid w:val="62F362CD"/>
    <w:rsid w:val="634C7A07"/>
    <w:rsid w:val="63515D5E"/>
    <w:rsid w:val="63943F72"/>
    <w:rsid w:val="63A15DFC"/>
    <w:rsid w:val="63E47A38"/>
    <w:rsid w:val="641E2732"/>
    <w:rsid w:val="64466118"/>
    <w:rsid w:val="64C84E80"/>
    <w:rsid w:val="64E1794F"/>
    <w:rsid w:val="65293255"/>
    <w:rsid w:val="65A75581"/>
    <w:rsid w:val="65CB28C5"/>
    <w:rsid w:val="65F01DF9"/>
    <w:rsid w:val="65FB6598"/>
    <w:rsid w:val="66145761"/>
    <w:rsid w:val="6671224C"/>
    <w:rsid w:val="66B013B8"/>
    <w:rsid w:val="66CE0BA0"/>
    <w:rsid w:val="67005E6B"/>
    <w:rsid w:val="6739010D"/>
    <w:rsid w:val="6755202A"/>
    <w:rsid w:val="677313DD"/>
    <w:rsid w:val="68010556"/>
    <w:rsid w:val="68026279"/>
    <w:rsid w:val="682C5DAD"/>
    <w:rsid w:val="6832385E"/>
    <w:rsid w:val="686A03F7"/>
    <w:rsid w:val="688D378B"/>
    <w:rsid w:val="696F29D2"/>
    <w:rsid w:val="697A2112"/>
    <w:rsid w:val="6A161B7B"/>
    <w:rsid w:val="6A2817FA"/>
    <w:rsid w:val="6A545610"/>
    <w:rsid w:val="6A62496F"/>
    <w:rsid w:val="6A62505F"/>
    <w:rsid w:val="6AD068DC"/>
    <w:rsid w:val="6B0610AE"/>
    <w:rsid w:val="6B644124"/>
    <w:rsid w:val="6B6B2D5A"/>
    <w:rsid w:val="6B6F1A1D"/>
    <w:rsid w:val="6B9376AA"/>
    <w:rsid w:val="6B9503A9"/>
    <w:rsid w:val="6BFB3461"/>
    <w:rsid w:val="6C497C36"/>
    <w:rsid w:val="6C6E3E68"/>
    <w:rsid w:val="6C776169"/>
    <w:rsid w:val="6CD66BB5"/>
    <w:rsid w:val="6CD969D7"/>
    <w:rsid w:val="6D444C71"/>
    <w:rsid w:val="6D53667E"/>
    <w:rsid w:val="6F577256"/>
    <w:rsid w:val="6F5C66FB"/>
    <w:rsid w:val="6F9355CE"/>
    <w:rsid w:val="6FDA3183"/>
    <w:rsid w:val="6FF02397"/>
    <w:rsid w:val="6FF723EA"/>
    <w:rsid w:val="700C7ADA"/>
    <w:rsid w:val="701159CB"/>
    <w:rsid w:val="70886ECD"/>
    <w:rsid w:val="70A14AA2"/>
    <w:rsid w:val="70CC2AC4"/>
    <w:rsid w:val="710355A9"/>
    <w:rsid w:val="71444C6F"/>
    <w:rsid w:val="716F1489"/>
    <w:rsid w:val="71A17D75"/>
    <w:rsid w:val="71A8646C"/>
    <w:rsid w:val="71B60E87"/>
    <w:rsid w:val="71C02EA0"/>
    <w:rsid w:val="71D47CA3"/>
    <w:rsid w:val="726570CE"/>
    <w:rsid w:val="72967DD5"/>
    <w:rsid w:val="72FC6CD5"/>
    <w:rsid w:val="734602BF"/>
    <w:rsid w:val="735D6EDC"/>
    <w:rsid w:val="739545EF"/>
    <w:rsid w:val="73BC0935"/>
    <w:rsid w:val="73BF0EFF"/>
    <w:rsid w:val="740D65E8"/>
    <w:rsid w:val="74194DA7"/>
    <w:rsid w:val="742A6C97"/>
    <w:rsid w:val="74526D36"/>
    <w:rsid w:val="74707A37"/>
    <w:rsid w:val="74857D54"/>
    <w:rsid w:val="74BA0958"/>
    <w:rsid w:val="74BE38F8"/>
    <w:rsid w:val="74EF41CF"/>
    <w:rsid w:val="750E09B5"/>
    <w:rsid w:val="752E73D6"/>
    <w:rsid w:val="752F689A"/>
    <w:rsid w:val="756D3818"/>
    <w:rsid w:val="75911734"/>
    <w:rsid w:val="75C31459"/>
    <w:rsid w:val="75CD67EA"/>
    <w:rsid w:val="75FD63AF"/>
    <w:rsid w:val="761C51C5"/>
    <w:rsid w:val="765D48F3"/>
    <w:rsid w:val="768A68A0"/>
    <w:rsid w:val="769501CD"/>
    <w:rsid w:val="76E0749D"/>
    <w:rsid w:val="76F1165C"/>
    <w:rsid w:val="77102E61"/>
    <w:rsid w:val="775A7063"/>
    <w:rsid w:val="77617B5A"/>
    <w:rsid w:val="776C5116"/>
    <w:rsid w:val="776F0347"/>
    <w:rsid w:val="7782140B"/>
    <w:rsid w:val="779056BF"/>
    <w:rsid w:val="77DE3C8A"/>
    <w:rsid w:val="78062112"/>
    <w:rsid w:val="781732EF"/>
    <w:rsid w:val="788345B0"/>
    <w:rsid w:val="78901D8E"/>
    <w:rsid w:val="78A623EB"/>
    <w:rsid w:val="78B06EDD"/>
    <w:rsid w:val="78F57CC9"/>
    <w:rsid w:val="79686AD0"/>
    <w:rsid w:val="796C71BE"/>
    <w:rsid w:val="79883C0D"/>
    <w:rsid w:val="79E900B4"/>
    <w:rsid w:val="79FA547F"/>
    <w:rsid w:val="7A0B0327"/>
    <w:rsid w:val="7A137C3A"/>
    <w:rsid w:val="7AAB4F78"/>
    <w:rsid w:val="7AB25458"/>
    <w:rsid w:val="7B3A6347"/>
    <w:rsid w:val="7B466C7D"/>
    <w:rsid w:val="7B7B5628"/>
    <w:rsid w:val="7B806A64"/>
    <w:rsid w:val="7B9F0281"/>
    <w:rsid w:val="7BB43300"/>
    <w:rsid w:val="7BD43725"/>
    <w:rsid w:val="7BDA66F7"/>
    <w:rsid w:val="7C164F4B"/>
    <w:rsid w:val="7C3B2527"/>
    <w:rsid w:val="7CA7751F"/>
    <w:rsid w:val="7CBA082A"/>
    <w:rsid w:val="7CCE7783"/>
    <w:rsid w:val="7CF93167"/>
    <w:rsid w:val="7CF93E4A"/>
    <w:rsid w:val="7D0D388D"/>
    <w:rsid w:val="7D217C1A"/>
    <w:rsid w:val="7D3E435E"/>
    <w:rsid w:val="7D6B0C4A"/>
    <w:rsid w:val="7D720563"/>
    <w:rsid w:val="7D877B50"/>
    <w:rsid w:val="7D935449"/>
    <w:rsid w:val="7DF041C9"/>
    <w:rsid w:val="7E337C81"/>
    <w:rsid w:val="7E646745"/>
    <w:rsid w:val="7E7710B9"/>
    <w:rsid w:val="7E7855FF"/>
    <w:rsid w:val="7E807F49"/>
    <w:rsid w:val="7ED72E79"/>
    <w:rsid w:val="7F2D5DFE"/>
    <w:rsid w:val="7F905BE5"/>
    <w:rsid w:val="7FB01664"/>
    <w:rsid w:val="7FF20455"/>
    <w:rsid w:val="7FF651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28"/>
      <w:ind w:left="502"/>
      <w:jc w:val="center"/>
      <w:outlineLvl w:val="1"/>
    </w:pPr>
    <w:rPr>
      <w:rFonts w:ascii="宋体" w:hAnsi="宋体" w:eastAsia="宋体" w:cs="宋体"/>
      <w:b/>
      <w:bCs/>
      <w:sz w:val="32"/>
      <w:szCs w:val="32"/>
      <w:lang w:val="zh-CN" w:eastAsia="zh-CN" w:bidi="zh-CN"/>
    </w:rPr>
  </w:style>
  <w:style w:type="paragraph" w:styleId="3">
    <w:name w:val="heading 2"/>
    <w:basedOn w:val="1"/>
    <w:next w:val="1"/>
    <w:qFormat/>
    <w:uiPriority w:val="1"/>
    <w:pPr>
      <w:spacing w:before="48"/>
      <w:ind w:left="253"/>
      <w:jc w:val="center"/>
      <w:outlineLvl w:val="2"/>
    </w:pPr>
    <w:rPr>
      <w:rFonts w:ascii="宋体" w:hAnsi="宋体" w:eastAsia="宋体" w:cs="宋体"/>
      <w:b/>
      <w:bCs/>
      <w:sz w:val="28"/>
      <w:szCs w:val="28"/>
      <w:lang w:val="zh-CN" w:eastAsia="zh-CN" w:bidi="zh-CN"/>
    </w:rPr>
  </w:style>
  <w:style w:type="paragraph" w:styleId="4">
    <w:name w:val="heading 3"/>
    <w:basedOn w:val="1"/>
    <w:next w:val="1"/>
    <w:qFormat/>
    <w:uiPriority w:val="1"/>
    <w:pPr>
      <w:spacing w:before="70"/>
      <w:ind w:left="1151"/>
      <w:outlineLvl w:val="3"/>
    </w:pPr>
    <w:rPr>
      <w:rFonts w:ascii="宋体" w:hAnsi="宋体" w:eastAsia="宋体" w:cs="宋体"/>
      <w:sz w:val="28"/>
      <w:szCs w:val="28"/>
      <w:lang w:val="zh-CN" w:eastAsia="zh-CN" w:bidi="zh-CN"/>
    </w:rPr>
  </w:style>
  <w:style w:type="paragraph" w:styleId="5">
    <w:name w:val="heading 4"/>
    <w:basedOn w:val="1"/>
    <w:next w:val="1"/>
    <w:qFormat/>
    <w:uiPriority w:val="1"/>
    <w:pPr>
      <w:ind w:left="813"/>
      <w:outlineLvl w:val="4"/>
    </w:pPr>
    <w:rPr>
      <w:rFonts w:ascii="宋体" w:hAnsi="宋体" w:eastAsia="宋体" w:cs="宋体"/>
      <w:b/>
      <w:bCs/>
      <w:sz w:val="24"/>
      <w:szCs w:val="24"/>
      <w:lang w:val="zh-CN" w:eastAsia="zh-CN" w:bidi="zh-CN"/>
    </w:rPr>
  </w:style>
  <w:style w:type="paragraph" w:styleId="6">
    <w:name w:val="heading 6"/>
    <w:basedOn w:val="1"/>
    <w:next w:val="1"/>
    <w:qFormat/>
    <w:uiPriority w:val="0"/>
    <w:pPr>
      <w:keepNext/>
      <w:spacing w:line="500" w:lineRule="exact"/>
      <w:jc w:val="center"/>
      <w:outlineLvl w:val="5"/>
    </w:pPr>
    <w:rPr>
      <w:rFonts w:ascii="Cambria" w:hAnsi="Cambria"/>
      <w:b/>
      <w:bCs/>
    </w:rPr>
  </w:style>
  <w:style w:type="character" w:default="1" w:styleId="16">
    <w:name w:val="Default Paragraph Font"/>
    <w:semiHidden/>
    <w:unhideWhenUsed/>
    <w:qFormat/>
    <w:uiPriority w:val="1"/>
  </w:style>
  <w:style w:type="table" w:default="1" w:styleId="15">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1"/>
    <w:rPr>
      <w:rFonts w:ascii="宋体" w:hAnsi="宋体" w:eastAsia="宋体" w:cs="宋体"/>
      <w:sz w:val="24"/>
      <w:szCs w:val="24"/>
      <w:lang w:val="zh-CN" w:eastAsia="zh-CN" w:bidi="zh-CN"/>
    </w:rPr>
  </w:style>
  <w:style w:type="paragraph" w:styleId="8">
    <w:name w:val="Plain Text"/>
    <w:basedOn w:val="1"/>
    <w:qFormat/>
    <w:uiPriority w:val="0"/>
    <w:rPr>
      <w:rFonts w:hAnsi="Courier New"/>
      <w:sz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1"/>
    <w:pPr>
      <w:spacing w:before="442"/>
      <w:ind w:left="548"/>
      <w:jc w:val="center"/>
    </w:pPr>
    <w:rPr>
      <w:rFonts w:ascii="宋体" w:hAnsi="宋体" w:eastAsia="宋体" w:cs="宋体"/>
      <w:sz w:val="24"/>
      <w:szCs w:val="24"/>
      <w:lang w:val="zh-CN" w:eastAsia="zh-CN" w:bidi="zh-CN"/>
    </w:rPr>
  </w:style>
  <w:style w:type="paragraph" w:styleId="12">
    <w:name w:val="toc 2"/>
    <w:basedOn w:val="1"/>
    <w:next w:val="1"/>
    <w:qFormat/>
    <w:uiPriority w:val="1"/>
    <w:pPr>
      <w:spacing w:before="441"/>
      <w:ind w:left="1310"/>
    </w:pPr>
    <w:rPr>
      <w:rFonts w:ascii="宋体" w:hAnsi="宋体" w:eastAsia="宋体" w:cs="宋体"/>
      <w:sz w:val="24"/>
      <w:szCs w:val="24"/>
      <w:lang w:val="zh-CN" w:eastAsia="zh-CN" w:bidi="zh-CN"/>
    </w:rPr>
  </w:style>
  <w:style w:type="paragraph" w:styleId="13">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4">
    <w:name w:val="Title"/>
    <w:basedOn w:val="1"/>
    <w:next w:val="1"/>
    <w:qFormat/>
    <w:uiPriority w:val="0"/>
    <w:pPr>
      <w:jc w:val="center"/>
    </w:pPr>
    <w:rPr>
      <w:b/>
      <w:sz w:val="30"/>
    </w:rPr>
  </w:style>
  <w:style w:type="character" w:styleId="17">
    <w:name w:val="Hyperlink"/>
    <w:basedOn w:val="16"/>
    <w:qFormat/>
    <w:uiPriority w:val="0"/>
    <w:rPr>
      <w:color w:val="0000FF"/>
      <w:u w:val="single"/>
    </w:r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pPr>
      <w:ind w:left="813" w:firstLine="480"/>
    </w:pPr>
    <w:rPr>
      <w:rFonts w:ascii="宋体" w:hAnsi="宋体" w:eastAsia="宋体" w:cs="宋体"/>
      <w:lang w:val="zh-CN" w:eastAsia="zh-CN" w:bidi="zh-CN"/>
    </w:rPr>
  </w:style>
  <w:style w:type="paragraph" w:customStyle="1" w:styleId="20">
    <w:name w:val="Table Paragraph"/>
    <w:basedOn w:val="1"/>
    <w:qFormat/>
    <w:uiPriority w:val="1"/>
    <w:rPr>
      <w:rFonts w:ascii="宋体" w:hAnsi="宋体" w:eastAsia="宋体" w:cs="宋体"/>
      <w:lang w:val="zh-CN" w:eastAsia="zh-CN" w:bidi="zh-CN"/>
    </w:rPr>
  </w:style>
  <w:style w:type="paragraph" w:customStyle="1" w:styleId="21">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1389929-7ee3-488e-8e19-4ed4a15e1c41}"/>
        <w:style w:val=""/>
        <w:category>
          <w:name w:val="常规"/>
          <w:gallery w:val="placeholder"/>
        </w:category>
        <w:types>
          <w:type w:val="bbPlcHdr"/>
        </w:types>
        <w:behaviors>
          <w:behavior w:val="content"/>
        </w:behaviors>
        <w:description w:val=""/>
        <w:guid w:val="{41389929-7ee3-488e-8e19-4ed4a15e1c41}"/>
      </w:docPartPr>
      <w:docPartBody>
        <w:p>
          <w:r>
            <w:rPr>
              <w:color w:val="808080"/>
            </w:rPr>
            <w:t>单击此处输入文字。</w:t>
          </w:r>
        </w:p>
      </w:docPartBody>
    </w:docPart>
    <w:docPart>
      <w:docPartPr>
        <w:name w:val="{b0fa2b58-c780-476c-9430-aacc4a7d1d32}"/>
        <w:style w:val=""/>
        <w:category>
          <w:name w:val="常规"/>
          <w:gallery w:val="placeholder"/>
        </w:category>
        <w:types>
          <w:type w:val="bbPlcHdr"/>
        </w:types>
        <w:behaviors>
          <w:behavior w:val="content"/>
        </w:behaviors>
        <w:description w:val=""/>
        <w:guid w:val="{b0fa2b58-c780-476c-9430-aacc4a7d1d32}"/>
      </w:docPartPr>
      <w:docPartBody>
        <w:p>
          <w:r>
            <w:rPr>
              <w:color w:val="808080"/>
            </w:rPr>
            <w:t>单击此处输入文字。</w:t>
          </w:r>
        </w:p>
      </w:docPartBody>
    </w:docPart>
    <w:docPart>
      <w:docPartPr>
        <w:name w:val="{84166403-4a97-44c9-89fe-d63d9283c086}"/>
        <w:style w:val=""/>
        <w:category>
          <w:name w:val="常规"/>
          <w:gallery w:val="placeholder"/>
        </w:category>
        <w:types>
          <w:type w:val="bbPlcHdr"/>
        </w:types>
        <w:behaviors>
          <w:behavior w:val="content"/>
        </w:behaviors>
        <w:description w:val=""/>
        <w:guid w:val="{84166403-4a97-44c9-89fe-d63d9283c086}"/>
      </w:docPartPr>
      <w:docPartBody>
        <w:p>
          <w:r>
            <w:rPr>
              <w:color w:val="808080"/>
            </w:rPr>
            <w:t>单击此处输入文字。</w:t>
          </w:r>
        </w:p>
      </w:docPartBody>
    </w:docPart>
    <w:docPart>
      <w:docPartPr>
        <w:name w:val="{2a3fb5d7-0d71-4457-8444-1d8f208a678b}"/>
        <w:style w:val=""/>
        <w:category>
          <w:name w:val="常规"/>
          <w:gallery w:val="placeholder"/>
        </w:category>
        <w:types>
          <w:type w:val="bbPlcHdr"/>
        </w:types>
        <w:behaviors>
          <w:behavior w:val="content"/>
        </w:behaviors>
        <w:description w:val=""/>
        <w:guid w:val="{2a3fb5d7-0d71-4457-8444-1d8f208a678b}"/>
      </w:docPartPr>
      <w:docPartBody>
        <w:p>
          <w:r>
            <w:rPr>
              <w:color w:val="808080"/>
            </w:rPr>
            <w:t>单击此处输入文字。</w:t>
          </w:r>
        </w:p>
      </w:docPartBody>
    </w:docPart>
    <w:docPart>
      <w:docPartPr>
        <w:name w:val="{2cc022d1-ebc4-4519-b9ce-5167e0d7c613}"/>
        <w:style w:val=""/>
        <w:category>
          <w:name w:val="常规"/>
          <w:gallery w:val="placeholder"/>
        </w:category>
        <w:types>
          <w:type w:val="bbPlcHdr"/>
        </w:types>
        <w:behaviors>
          <w:behavior w:val="content"/>
        </w:behaviors>
        <w:description w:val=""/>
        <w:guid w:val="{2cc022d1-ebc4-4519-b9ce-5167e0d7c613}"/>
      </w:docPartPr>
      <w:docPartBody>
        <w:p>
          <w:r>
            <w:rPr>
              <w:color w:val="808080"/>
            </w:rPr>
            <w:t>单击此处输入文字。</w:t>
          </w:r>
        </w:p>
      </w:docPartBody>
    </w:docPart>
    <w:docPart>
      <w:docPartPr>
        <w:name w:val="{f6985e26-98bc-4de5-b3e4-626178f79d7f}"/>
        <w:style w:val=""/>
        <w:category>
          <w:name w:val="常规"/>
          <w:gallery w:val="placeholder"/>
        </w:category>
        <w:types>
          <w:type w:val="bbPlcHdr"/>
        </w:types>
        <w:behaviors>
          <w:behavior w:val="content"/>
        </w:behaviors>
        <w:description w:val=""/>
        <w:guid w:val="{f6985e26-98bc-4de5-b3e4-626178f79d7f}"/>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ScaleCrop>false</ScaleCrop>
  <LinksUpToDate>false</LinksUpToDate>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2018-12-14T08:18:00Z</dcterms:created>
  <dc:creator>MS USER</dc:creator>
  <cp:lastModifiedBy>Boggle</cp:lastModifiedBy>
  <cp:lastPrinted>2020-07-28T01:43:09Z</cp:lastPrinted>
  <dcterms:modified xsi:type="dcterms:W3CDTF">2020-07-28T02:18:32Z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2018-12-12T00:00:00Z</vt:filetime>
  </property>
  <property fmtid="{D5CDD505-2E9C-101B-9397-08002B2CF9AE}" pid="3" name="Creator">
    <vt:lpwstr>WPS 文字</vt:lpwstr>
  </property>
  <property fmtid="{D5CDD505-2E9C-101B-9397-08002B2CF9AE}" pid="4" name="LastSaved">
    <vt:filetime>2018-12-14T00:00:00Z</vt:filetime>
  </property>
  <property fmtid="{D5CDD505-2E9C-101B-9397-08002B2CF9AE}" pid="5" name="KSOProductBuildVer">
    <vt:lpwstr>2052-11.1.0.9739</vt:lpwstr>
  </property>
</Properties>
</file>