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452" w:beforeAutospacing="0" w:after="422" w:afterAutospacing="0" w:line="320" w:lineRule="atLeast"/>
        <w:ind w:left="1150" w:right="150"/>
        <w:jc w:val="center"/>
        <w:rPr>
          <w:rFonts w:hint="eastAsia" w:ascii="微软雅黑" w:hAnsi="微软雅黑" w:eastAsia="微软雅黑" w:cs="微软雅黑"/>
          <w:color w:val="383838"/>
          <w:sz w:val="16"/>
          <w:szCs w:val="16"/>
          <w:shd w:val="clear" w:fill="FFFFFF"/>
        </w:rPr>
      </w:pPr>
      <w:r>
        <w:rPr>
          <w:rFonts w:hint="eastAsia" w:ascii="微软雅黑" w:hAnsi="微软雅黑" w:eastAsia="微软雅黑" w:cs="微软雅黑"/>
          <w:color w:val="383838"/>
          <w:sz w:val="16"/>
          <w:szCs w:val="16"/>
          <w:shd w:val="clear" w:fill="FFFFFF"/>
        </w:rPr>
        <w:t>天津出入境检验检疫局化矿金属材料检测中心钢丝绳整绳破断力检测服务项目</w:t>
      </w:r>
      <w:r>
        <w:rPr>
          <w:rFonts w:hint="eastAsia" w:ascii="微软雅黑" w:hAnsi="微软雅黑" w:eastAsia="微软雅黑" w:cs="微软雅黑"/>
          <w:color w:val="383838"/>
          <w:sz w:val="16"/>
          <w:szCs w:val="16"/>
          <w:shd w:val="clear" w:fill="FFFFFF"/>
          <w:lang w:eastAsia="zh-CN"/>
        </w:rPr>
        <w:t>成交公告</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　天津博汇招标有限公司受天津出入境检验检疫局化矿金属材料检测中心的委托，就天津出入境检验检疫局化矿金属材料检测中心钢丝绳整绳破断力检测服务项目（项目编号：BH-TJSJ2017158）组织采购，评标工作已经结束，成交结果如下：</w:t>
      </w:r>
    </w:p>
    <w:p>
      <w:pPr>
        <w:pStyle w:val="2"/>
        <w:keepNext w:val="0"/>
        <w:keepLines w:val="0"/>
        <w:widowControl/>
        <w:suppressLineNumbers w:val="0"/>
        <w:spacing w:before="452" w:beforeAutospacing="0" w:after="422" w:afterAutospacing="0" w:line="320" w:lineRule="atLeast"/>
        <w:ind w:left="1150" w:right="150"/>
      </w:pPr>
      <w:r>
        <w:rPr>
          <w:rStyle w:val="4"/>
          <w:rFonts w:hint="eastAsia" w:ascii="微软雅黑" w:hAnsi="微软雅黑" w:eastAsia="微软雅黑" w:cs="微软雅黑"/>
          <w:b/>
          <w:color w:val="383838"/>
          <w:sz w:val="16"/>
          <w:szCs w:val="16"/>
          <w:shd w:val="clear" w:fill="FFFFFF"/>
        </w:rPr>
        <w:t>一、项目信息</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项目编号：BH-TJSJ2017158</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项目名称：天津出入境检验检疫</w:t>
      </w:r>
      <w:bookmarkStart w:id="0" w:name="_GoBack"/>
      <w:r>
        <w:rPr>
          <w:rFonts w:hint="eastAsia" w:ascii="微软雅黑" w:hAnsi="微软雅黑" w:eastAsia="微软雅黑" w:cs="微软雅黑"/>
          <w:color w:val="383838"/>
          <w:sz w:val="16"/>
          <w:szCs w:val="16"/>
          <w:shd w:val="clear" w:fill="FFFFFF"/>
        </w:rPr>
        <w:t>局</w:t>
      </w:r>
      <w:bookmarkEnd w:id="0"/>
      <w:r>
        <w:rPr>
          <w:rFonts w:hint="eastAsia" w:ascii="微软雅黑" w:hAnsi="微软雅黑" w:eastAsia="微软雅黑" w:cs="微软雅黑"/>
          <w:color w:val="383838"/>
          <w:sz w:val="16"/>
          <w:szCs w:val="16"/>
          <w:shd w:val="clear" w:fill="FFFFFF"/>
        </w:rPr>
        <w:t>化矿金属材料检测中心钢丝绳整绳破断力检测服务项目</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项目联系人：王老师</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联系方式：022-24340980</w:t>
      </w:r>
    </w:p>
    <w:p>
      <w:pPr>
        <w:pStyle w:val="2"/>
        <w:keepNext w:val="0"/>
        <w:keepLines w:val="0"/>
        <w:widowControl/>
        <w:suppressLineNumbers w:val="0"/>
        <w:spacing w:before="452" w:beforeAutospacing="0" w:after="422" w:afterAutospacing="0" w:line="320" w:lineRule="atLeast"/>
        <w:ind w:left="1150" w:right="150"/>
      </w:pPr>
      <w:r>
        <w:rPr>
          <w:rStyle w:val="4"/>
          <w:rFonts w:hint="eastAsia" w:ascii="微软雅黑" w:hAnsi="微软雅黑" w:eastAsia="微软雅黑" w:cs="微软雅黑"/>
          <w:b/>
          <w:color w:val="383838"/>
          <w:sz w:val="16"/>
          <w:szCs w:val="16"/>
          <w:shd w:val="clear" w:fill="FFFFFF"/>
        </w:rPr>
        <w:t>二、采购单位信息</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采购单位名称：天津出入境检验检疫局化矿金属材料检测中心</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采购单位地址：天津市滨海新区新港路77号</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采购单位联系方式：傅志强 66702921</w:t>
      </w:r>
    </w:p>
    <w:p>
      <w:pPr>
        <w:pStyle w:val="2"/>
        <w:keepNext w:val="0"/>
        <w:keepLines w:val="0"/>
        <w:widowControl/>
        <w:suppressLineNumbers w:val="0"/>
        <w:spacing w:before="452" w:beforeAutospacing="0" w:after="422" w:afterAutospacing="0" w:line="320" w:lineRule="atLeast"/>
        <w:ind w:left="1150" w:right="150"/>
      </w:pPr>
      <w:r>
        <w:rPr>
          <w:rStyle w:val="4"/>
          <w:rFonts w:hint="eastAsia" w:ascii="微软雅黑" w:hAnsi="微软雅黑" w:eastAsia="微软雅黑" w:cs="微软雅黑"/>
          <w:b/>
          <w:color w:val="383838"/>
          <w:sz w:val="16"/>
          <w:szCs w:val="16"/>
          <w:shd w:val="clear" w:fill="FFFFFF"/>
        </w:rPr>
        <w:t>三、采购代理机构信息</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采购代理机构全称：天津博汇招标有限公司</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采购代理机构地址：天津河东区晨阳道恋日风景林语居16-103室</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采购代理机构联系方式：王老师 022-24340980</w:t>
      </w:r>
    </w:p>
    <w:p>
      <w:pPr>
        <w:pStyle w:val="2"/>
        <w:keepNext w:val="0"/>
        <w:keepLines w:val="0"/>
        <w:widowControl/>
        <w:suppressLineNumbers w:val="0"/>
        <w:spacing w:before="452" w:beforeAutospacing="0" w:after="422" w:afterAutospacing="0" w:line="320" w:lineRule="atLeast"/>
        <w:ind w:left="1150" w:right="150"/>
      </w:pPr>
      <w:r>
        <w:rPr>
          <w:rStyle w:val="4"/>
          <w:rFonts w:hint="eastAsia" w:ascii="微软雅黑" w:hAnsi="微软雅黑" w:eastAsia="微软雅黑" w:cs="微软雅黑"/>
          <w:b/>
          <w:color w:val="383838"/>
          <w:sz w:val="16"/>
          <w:szCs w:val="16"/>
          <w:shd w:val="clear" w:fill="FFFFFF"/>
        </w:rPr>
        <w:t>四、成交信息</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招标文件编号：BH-TJSJ2017158</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本项目招标公告日期：2017年09月28日</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成交日期：2018年01月10日</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总成交金额：25.0 万元（人民币）</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成交供应商名称、地址及成交金额：</w:t>
      </w:r>
    </w:p>
    <w:tbl>
      <w:tblPr>
        <w:tblW w:w="6357" w:type="dxa"/>
        <w:tblInd w:w="115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336"/>
        <w:gridCol w:w="2736"/>
        <w:gridCol w:w="2203"/>
        <w:gridCol w:w="108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c>
          <w:tcPr>
            <w:tcW w:w="336"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序号</w:t>
            </w:r>
          </w:p>
        </w:tc>
        <w:tc>
          <w:tcPr>
            <w:tcW w:w="2736"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成交供应商名称</w:t>
            </w:r>
          </w:p>
        </w:tc>
        <w:tc>
          <w:tcPr>
            <w:tcW w:w="2203"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成交供应商联系地址</w:t>
            </w:r>
          </w:p>
        </w:tc>
        <w:tc>
          <w:tcPr>
            <w:tcW w:w="1082"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成交金额(万元)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336"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1</w:t>
            </w:r>
          </w:p>
        </w:tc>
        <w:tc>
          <w:tcPr>
            <w:tcW w:w="2736"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中钢集团郑州金属制品研究院有限公司</w:t>
            </w:r>
          </w:p>
        </w:tc>
        <w:tc>
          <w:tcPr>
            <w:tcW w:w="2203"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郑州高新开发区科学大道70号</w:t>
            </w:r>
          </w:p>
        </w:tc>
        <w:tc>
          <w:tcPr>
            <w:tcW w:w="1082" w:type="dxa"/>
            <w:shd w:val="clear"/>
            <w:vAlign w:val="center"/>
          </w:tcPr>
          <w:p>
            <w:pPr>
              <w:keepNext w:val="0"/>
              <w:keepLines w:val="0"/>
              <w:widowControl/>
              <w:suppressLineNumbers w:val="0"/>
              <w:spacing w:line="240" w:lineRule="atLeast"/>
              <w:jc w:val="left"/>
              <w:rPr>
                <w:rFonts w:hint="eastAsia" w:ascii="微软雅黑" w:hAnsi="微软雅黑" w:eastAsia="微软雅黑" w:cs="微软雅黑"/>
                <w:color w:val="auto"/>
                <w:sz w:val="16"/>
                <w:szCs w:val="16"/>
              </w:rPr>
            </w:pPr>
            <w:r>
              <w:rPr>
                <w:rFonts w:hint="eastAsia" w:ascii="微软雅黑" w:hAnsi="微软雅黑" w:eastAsia="微软雅黑" w:cs="微软雅黑"/>
                <w:color w:val="auto"/>
                <w:kern w:val="0"/>
                <w:sz w:val="16"/>
                <w:szCs w:val="16"/>
                <w:lang w:val="en-US" w:eastAsia="zh-CN" w:bidi="ar"/>
              </w:rPr>
              <w:t>25.000000</w:t>
            </w:r>
          </w:p>
        </w:tc>
      </w:tr>
    </w:tbl>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谈判小组、询价小组、磋商小组成员名单及单一来源采购人员名单：</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金宝炎（采购人代表）、王学芬、李宾</w:t>
      </w:r>
    </w:p>
    <w:p>
      <w:pPr>
        <w:pStyle w:val="2"/>
        <w:keepNext w:val="0"/>
        <w:keepLines w:val="0"/>
        <w:widowControl/>
        <w:suppressLineNumbers w:val="0"/>
        <w:spacing w:before="452" w:beforeAutospacing="0" w:after="422" w:afterAutospacing="0" w:line="320" w:lineRule="atLeast"/>
        <w:ind w:left="1150" w:right="150"/>
      </w:pPr>
      <w:r>
        <w:rPr>
          <w:rStyle w:val="4"/>
          <w:rFonts w:hint="eastAsia" w:ascii="微软雅黑" w:hAnsi="微软雅黑" w:eastAsia="微软雅黑" w:cs="微软雅黑"/>
          <w:b/>
          <w:color w:val="383838"/>
          <w:sz w:val="16"/>
          <w:szCs w:val="16"/>
          <w:shd w:val="clear" w:fill="FFFFFF"/>
        </w:rPr>
        <w:t>五、项目用途、简要技术要求及合同履行日期：</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简要技术要求：详见项目需求书</w:t>
      </w:r>
    </w:p>
    <w:p>
      <w:pPr>
        <w:pStyle w:val="2"/>
        <w:keepNext w:val="0"/>
        <w:keepLines w:val="0"/>
        <w:widowControl/>
        <w:suppressLineNumbers w:val="0"/>
        <w:spacing w:before="452" w:beforeAutospacing="0" w:after="422" w:afterAutospacing="0" w:line="320" w:lineRule="atLeast"/>
        <w:ind w:left="1150" w:right="150"/>
      </w:pPr>
      <w:r>
        <w:rPr>
          <w:rStyle w:val="4"/>
          <w:rFonts w:hint="eastAsia" w:ascii="微软雅黑" w:hAnsi="微软雅黑" w:eastAsia="微软雅黑" w:cs="微软雅黑"/>
          <w:b/>
          <w:color w:val="383838"/>
          <w:sz w:val="16"/>
          <w:szCs w:val="16"/>
          <w:shd w:val="clear" w:fill="FFFFFF"/>
        </w:rPr>
        <w:t>六、成交标的名称、规格型号、数量、单价、服务要求：</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成交内容：钢丝绳整绳破断力检测服务</w:t>
      </w:r>
    </w:p>
    <w:p>
      <w:pPr>
        <w:pStyle w:val="2"/>
        <w:keepNext w:val="0"/>
        <w:keepLines w:val="0"/>
        <w:widowControl/>
        <w:suppressLineNumbers w:val="0"/>
        <w:spacing w:before="452" w:beforeAutospacing="0" w:after="422" w:afterAutospacing="0" w:line="320" w:lineRule="atLeast"/>
        <w:ind w:left="1150" w:right="150"/>
      </w:pPr>
      <w:r>
        <w:rPr>
          <w:rFonts w:hint="eastAsia" w:ascii="微软雅黑" w:hAnsi="微软雅黑" w:eastAsia="微软雅黑" w:cs="微软雅黑"/>
          <w:color w:val="383838"/>
          <w:sz w:val="16"/>
          <w:szCs w:val="16"/>
          <w:shd w:val="clear" w:fill="FFFFFF"/>
        </w:rPr>
        <w:t>服务期：自签订合同之日起一年</w:t>
      </w:r>
    </w:p>
    <w:p>
      <w:pPr>
        <w:pStyle w:val="2"/>
        <w:keepNext w:val="0"/>
        <w:keepLines w:val="0"/>
        <w:widowControl/>
        <w:numPr>
          <w:ilvl w:val="0"/>
          <w:numId w:val="1"/>
        </w:numPr>
        <w:suppressLineNumbers w:val="0"/>
        <w:spacing w:before="452" w:beforeAutospacing="0" w:after="422" w:afterAutospacing="0" w:line="320" w:lineRule="atLeast"/>
        <w:ind w:left="1150" w:right="150"/>
        <w:rPr>
          <w:rStyle w:val="4"/>
          <w:rFonts w:hint="eastAsia" w:ascii="微软雅黑" w:hAnsi="微软雅黑" w:eastAsia="微软雅黑" w:cs="微软雅黑"/>
          <w:b/>
          <w:color w:val="383838"/>
          <w:sz w:val="16"/>
          <w:szCs w:val="16"/>
          <w:shd w:val="clear" w:fill="FFFFFF"/>
        </w:rPr>
      </w:pPr>
      <w:r>
        <w:rPr>
          <w:rStyle w:val="4"/>
          <w:rFonts w:hint="eastAsia" w:ascii="微软雅黑" w:hAnsi="微软雅黑" w:eastAsia="微软雅黑" w:cs="微软雅黑"/>
          <w:b/>
          <w:color w:val="383838"/>
          <w:sz w:val="16"/>
          <w:szCs w:val="16"/>
          <w:shd w:val="clear" w:fill="FFFFFF"/>
        </w:rPr>
        <w:t>其它补充事宜</w:t>
      </w:r>
    </w:p>
    <w:tbl>
      <w:tblPr>
        <w:tblStyle w:val="7"/>
        <w:tblpPr w:leftFromText="180" w:rightFromText="180" w:vertAnchor="text" w:horzAnchor="page" w:tblpX="1597" w:tblpY="3"/>
        <w:tblOverlap w:val="never"/>
        <w:tblW w:w="8522" w:type="dxa"/>
        <w:tblInd w:w="0" w:type="dxa"/>
        <w:tblLayout w:type="fixed"/>
        <w:tblCellMar>
          <w:top w:w="0" w:type="dxa"/>
          <w:left w:w="108" w:type="dxa"/>
          <w:bottom w:w="0" w:type="dxa"/>
          <w:right w:w="108" w:type="dxa"/>
        </w:tblCellMar>
      </w:tblPr>
      <w:tblGrid>
        <w:gridCol w:w="500"/>
        <w:gridCol w:w="2565"/>
        <w:gridCol w:w="1001"/>
        <w:gridCol w:w="2142"/>
        <w:gridCol w:w="2314"/>
      </w:tblGrid>
      <w:tr>
        <w:tblPrEx>
          <w:tblLayout w:type="fixed"/>
          <w:tblCellMar>
            <w:top w:w="0" w:type="dxa"/>
            <w:left w:w="108" w:type="dxa"/>
            <w:bottom w:w="0" w:type="dxa"/>
            <w:right w:w="108" w:type="dxa"/>
          </w:tblCellMar>
        </w:tblPrEx>
        <w:trPr>
          <w:cantSplit/>
          <w:trHeight w:val="283" w:hRule="atLeast"/>
        </w:trPr>
        <w:tc>
          <w:tcPr>
            <w:tcW w:w="500" w:type="dxa"/>
            <w:tcBorders>
              <w:top w:val="single" w:color="auto" w:sz="4" w:space="0"/>
              <w:left w:val="single" w:color="auto" w:sz="4" w:space="0"/>
              <w:right w:val="single" w:color="auto" w:sz="4" w:space="0"/>
            </w:tcBorders>
            <w:vAlign w:val="center"/>
          </w:tcPr>
          <w:p>
            <w:pPr>
              <w:widowControl/>
              <w:jc w:val="center"/>
              <w:rPr>
                <w:rFonts w:hint="eastAsia" w:ascii="微软雅黑" w:hAnsi="微软雅黑" w:eastAsia="微软雅黑" w:cs="微软雅黑"/>
                <w:b/>
                <w:kern w:val="0"/>
                <w:sz w:val="16"/>
                <w:szCs w:val="16"/>
              </w:rPr>
            </w:pPr>
            <w:r>
              <w:rPr>
                <w:rFonts w:hint="eastAsia" w:ascii="微软雅黑" w:hAnsi="微软雅黑" w:eastAsia="微软雅黑" w:cs="微软雅黑"/>
                <w:b/>
                <w:kern w:val="0"/>
                <w:sz w:val="16"/>
                <w:szCs w:val="16"/>
              </w:rPr>
              <w:t>序号</w:t>
            </w:r>
          </w:p>
        </w:tc>
        <w:tc>
          <w:tcPr>
            <w:tcW w:w="2565" w:type="dxa"/>
            <w:tcBorders>
              <w:top w:val="single" w:color="auto" w:sz="4" w:space="0"/>
              <w:left w:val="nil"/>
              <w:bottom w:val="single" w:color="auto" w:sz="4" w:space="0"/>
              <w:right w:val="single" w:color="auto" w:sz="4" w:space="0"/>
            </w:tcBorders>
            <w:vAlign w:val="center"/>
          </w:tcPr>
          <w:p>
            <w:pPr>
              <w:jc w:val="center"/>
              <w:rPr>
                <w:rFonts w:hint="eastAsia" w:ascii="微软雅黑" w:hAnsi="微软雅黑" w:eastAsia="微软雅黑" w:cs="微软雅黑"/>
                <w:b/>
                <w:kern w:val="0"/>
                <w:sz w:val="16"/>
                <w:szCs w:val="16"/>
                <w:lang w:eastAsia="zh-CN"/>
              </w:rPr>
            </w:pPr>
            <w:r>
              <w:rPr>
                <w:rFonts w:hint="eastAsia" w:ascii="微软雅黑" w:hAnsi="微软雅黑" w:eastAsia="微软雅黑" w:cs="微软雅黑"/>
                <w:b/>
                <w:kern w:val="0"/>
                <w:sz w:val="16"/>
                <w:szCs w:val="16"/>
                <w:lang w:val="en-US" w:eastAsia="zh-CN"/>
              </w:rPr>
              <w:t>服务名称</w:t>
            </w:r>
          </w:p>
        </w:tc>
        <w:tc>
          <w:tcPr>
            <w:tcW w:w="1001" w:type="dxa"/>
            <w:tcBorders>
              <w:top w:val="single" w:color="auto" w:sz="4" w:space="0"/>
              <w:left w:val="single" w:color="auto" w:sz="4" w:space="0"/>
              <w:right w:val="single" w:color="auto" w:sz="4" w:space="0"/>
            </w:tcBorders>
            <w:vAlign w:val="center"/>
          </w:tcPr>
          <w:p>
            <w:pPr>
              <w:widowControl/>
              <w:jc w:val="center"/>
              <w:rPr>
                <w:rFonts w:hint="eastAsia" w:ascii="微软雅黑" w:hAnsi="微软雅黑" w:eastAsia="微软雅黑" w:cs="微软雅黑"/>
                <w:b/>
                <w:kern w:val="0"/>
                <w:sz w:val="16"/>
                <w:szCs w:val="16"/>
                <w:lang w:val="en-US" w:eastAsia="zh-CN"/>
              </w:rPr>
            </w:pPr>
            <w:r>
              <w:rPr>
                <w:rFonts w:hint="eastAsia" w:ascii="微软雅黑" w:hAnsi="微软雅黑" w:eastAsia="微软雅黑" w:cs="微软雅黑"/>
                <w:b/>
                <w:kern w:val="0"/>
                <w:sz w:val="16"/>
                <w:szCs w:val="16"/>
                <w:lang w:val="en-US" w:eastAsia="zh-CN"/>
              </w:rPr>
              <w:t>数量</w:t>
            </w:r>
          </w:p>
        </w:tc>
        <w:tc>
          <w:tcPr>
            <w:tcW w:w="2142" w:type="dxa"/>
            <w:tcBorders>
              <w:top w:val="single" w:color="auto" w:sz="4" w:space="0"/>
              <w:left w:val="single" w:color="auto" w:sz="4" w:space="0"/>
              <w:right w:val="single" w:color="auto" w:sz="4" w:space="0"/>
            </w:tcBorders>
            <w:vAlign w:val="center"/>
          </w:tcPr>
          <w:p>
            <w:pPr>
              <w:widowControl/>
              <w:jc w:val="center"/>
              <w:rPr>
                <w:rFonts w:hint="eastAsia" w:ascii="微软雅黑" w:hAnsi="微软雅黑" w:eastAsia="微软雅黑" w:cs="微软雅黑"/>
                <w:b/>
                <w:kern w:val="0"/>
                <w:sz w:val="16"/>
                <w:szCs w:val="16"/>
                <w:lang w:val="en-US" w:eastAsia="zh-CN"/>
              </w:rPr>
            </w:pPr>
            <w:r>
              <w:rPr>
                <w:rFonts w:hint="eastAsia" w:ascii="微软雅黑" w:hAnsi="微软雅黑" w:eastAsia="微软雅黑" w:cs="微软雅黑"/>
                <w:b/>
                <w:kern w:val="0"/>
                <w:sz w:val="16"/>
                <w:szCs w:val="16"/>
                <w:lang w:val="en-US" w:eastAsia="zh-CN"/>
              </w:rPr>
              <w:t>单价</w:t>
            </w:r>
          </w:p>
        </w:tc>
        <w:tc>
          <w:tcPr>
            <w:tcW w:w="2314" w:type="dxa"/>
            <w:tcBorders>
              <w:top w:val="single" w:color="auto" w:sz="4" w:space="0"/>
              <w:left w:val="single" w:color="auto" w:sz="4" w:space="0"/>
              <w:right w:val="single" w:color="auto" w:sz="4" w:space="0"/>
            </w:tcBorders>
            <w:vAlign w:val="center"/>
          </w:tcPr>
          <w:p>
            <w:pPr>
              <w:widowControl/>
              <w:jc w:val="center"/>
              <w:rPr>
                <w:rFonts w:hint="eastAsia" w:ascii="微软雅黑" w:hAnsi="微软雅黑" w:eastAsia="微软雅黑" w:cs="微软雅黑"/>
                <w:b/>
                <w:kern w:val="0"/>
                <w:sz w:val="16"/>
                <w:szCs w:val="16"/>
                <w:lang w:val="en-US" w:eastAsia="zh-CN"/>
              </w:rPr>
            </w:pPr>
            <w:r>
              <w:rPr>
                <w:rFonts w:hint="eastAsia" w:ascii="微软雅黑" w:hAnsi="微软雅黑" w:eastAsia="微软雅黑" w:cs="微软雅黑"/>
                <w:b/>
                <w:kern w:val="0"/>
                <w:sz w:val="16"/>
                <w:szCs w:val="16"/>
                <w:lang w:val="en-US" w:eastAsia="zh-CN"/>
              </w:rPr>
              <w:t>备注</w:t>
            </w:r>
          </w:p>
        </w:tc>
      </w:tr>
      <w:tr>
        <w:tblPrEx>
          <w:tblLayout w:type="fixed"/>
          <w:tblCellMar>
            <w:top w:w="0" w:type="dxa"/>
            <w:left w:w="108" w:type="dxa"/>
            <w:bottom w:w="0" w:type="dxa"/>
            <w:right w:w="108" w:type="dxa"/>
          </w:tblCellMar>
        </w:tblPrEx>
        <w:trPr>
          <w:trHeight w:val="283" w:hRule="atLeast"/>
        </w:trPr>
        <w:tc>
          <w:tcPr>
            <w:tcW w:w="500" w:type="dxa"/>
            <w:vMerge w:val="restart"/>
            <w:tcBorders>
              <w:top w:val="single" w:color="auto" w:sz="4" w:space="0"/>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rPr>
              <w:t>1</w:t>
            </w:r>
          </w:p>
        </w:tc>
        <w:tc>
          <w:tcPr>
            <w:tcW w:w="2565" w:type="dxa"/>
            <w:vMerge w:val="restart"/>
            <w:tcBorders>
              <w:top w:val="single" w:color="auto" w:sz="4" w:space="0"/>
              <w:left w:val="nil"/>
              <w:right w:val="single" w:color="auto" w:sz="4" w:space="0"/>
            </w:tcBorders>
            <w:vAlign w:val="center"/>
          </w:tcPr>
          <w:p>
            <w:pPr>
              <w:jc w:val="both"/>
              <w:rPr>
                <w:rFonts w:hint="eastAsia" w:ascii="微软雅黑" w:hAnsi="微软雅黑" w:eastAsia="微软雅黑" w:cs="微软雅黑"/>
                <w:sz w:val="16"/>
                <w:szCs w:val="16"/>
                <w:lang w:val="en-US" w:eastAsia="zh-CN"/>
              </w:rPr>
            </w:pPr>
            <w:r>
              <w:rPr>
                <w:rFonts w:hint="eastAsia" w:ascii="微软雅黑" w:hAnsi="微软雅黑" w:eastAsia="微软雅黑" w:cs="微软雅黑"/>
                <w:sz w:val="16"/>
                <w:szCs w:val="16"/>
                <w:lang w:val="en-US" w:eastAsia="zh-CN"/>
              </w:rPr>
              <w:t>钢丝绳整绳破断力</w:t>
            </w:r>
          </w:p>
        </w:tc>
        <w:tc>
          <w:tcPr>
            <w:tcW w:w="1001" w:type="dxa"/>
            <w:vMerge w:val="restart"/>
            <w:tcBorders>
              <w:top w:val="single" w:color="auto" w:sz="4" w:space="0"/>
              <w:left w:val="nil"/>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1/样</w:t>
            </w: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200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φ＜7mm</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400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7≤φ＜16mm</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800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16≤φ＜30mm</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1000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30≤φ＜40mm</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2000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40≤φ＜50mm</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bottom w:val="single" w:color="auto" w:sz="4" w:space="0"/>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3000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φ≥50mm</w:t>
            </w:r>
          </w:p>
        </w:tc>
      </w:tr>
      <w:tr>
        <w:tblPrEx>
          <w:tblLayout w:type="fixed"/>
          <w:tblCellMar>
            <w:top w:w="0" w:type="dxa"/>
            <w:left w:w="108" w:type="dxa"/>
            <w:bottom w:w="0" w:type="dxa"/>
            <w:right w:w="108" w:type="dxa"/>
          </w:tblCellMar>
        </w:tblPrEx>
        <w:trPr>
          <w:trHeight w:val="283" w:hRule="atLeast"/>
        </w:trPr>
        <w:tc>
          <w:tcPr>
            <w:tcW w:w="5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2</w:t>
            </w:r>
          </w:p>
        </w:tc>
        <w:tc>
          <w:tcPr>
            <w:tcW w:w="2565" w:type="dxa"/>
            <w:tcBorders>
              <w:top w:val="single" w:color="auto" w:sz="4" w:space="0"/>
              <w:left w:val="nil"/>
              <w:bottom w:val="single" w:color="auto" w:sz="4" w:space="0"/>
              <w:right w:val="single" w:color="auto" w:sz="4" w:space="0"/>
            </w:tcBorders>
            <w:vAlign w:val="center"/>
          </w:tcPr>
          <w:p>
            <w:pPr>
              <w:jc w:val="both"/>
              <w:rPr>
                <w:rFonts w:hint="eastAsia" w:ascii="微软雅黑" w:hAnsi="微软雅黑" w:eastAsia="微软雅黑" w:cs="微软雅黑"/>
                <w:sz w:val="16"/>
                <w:szCs w:val="16"/>
                <w:lang w:val="en-US" w:eastAsia="zh-CN"/>
              </w:rPr>
            </w:pPr>
            <w:r>
              <w:rPr>
                <w:rFonts w:hint="eastAsia" w:ascii="微软雅黑" w:hAnsi="微软雅黑" w:eastAsia="微软雅黑" w:cs="微软雅黑"/>
                <w:sz w:val="16"/>
                <w:szCs w:val="16"/>
                <w:lang w:val="en-US" w:eastAsia="zh-CN"/>
              </w:rPr>
              <w:t>编织绳整绳破断力</w:t>
            </w:r>
          </w:p>
        </w:tc>
        <w:tc>
          <w:tcPr>
            <w:tcW w:w="1001"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1/样</w:t>
            </w: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800</w:t>
            </w:r>
          </w:p>
        </w:tc>
        <w:tc>
          <w:tcPr>
            <w:tcW w:w="2314"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r>
      <w:tr>
        <w:tblPrEx>
          <w:tblLayout w:type="fixed"/>
          <w:tblCellMar>
            <w:top w:w="0" w:type="dxa"/>
            <w:left w:w="108" w:type="dxa"/>
            <w:bottom w:w="0" w:type="dxa"/>
            <w:right w:w="108" w:type="dxa"/>
          </w:tblCellMar>
        </w:tblPrEx>
        <w:trPr>
          <w:trHeight w:val="283" w:hRule="atLeast"/>
        </w:trPr>
        <w:tc>
          <w:tcPr>
            <w:tcW w:w="500" w:type="dxa"/>
            <w:vMerge w:val="restart"/>
            <w:tcBorders>
              <w:top w:val="single" w:color="auto" w:sz="4" w:space="0"/>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3</w:t>
            </w:r>
          </w:p>
        </w:tc>
        <w:tc>
          <w:tcPr>
            <w:tcW w:w="2565" w:type="dxa"/>
            <w:vMerge w:val="restart"/>
            <w:tcBorders>
              <w:top w:val="single" w:color="auto" w:sz="4" w:space="0"/>
              <w:left w:val="nil"/>
              <w:right w:val="single" w:color="auto" w:sz="4" w:space="0"/>
            </w:tcBorders>
            <w:vAlign w:val="center"/>
          </w:tcPr>
          <w:p>
            <w:pPr>
              <w:jc w:val="both"/>
              <w:rPr>
                <w:rFonts w:hint="eastAsia" w:ascii="微软雅黑" w:hAnsi="微软雅黑" w:eastAsia="微软雅黑" w:cs="微软雅黑"/>
                <w:sz w:val="16"/>
                <w:szCs w:val="16"/>
                <w:lang w:val="en-US" w:eastAsia="zh-CN"/>
              </w:rPr>
            </w:pPr>
            <w:r>
              <w:rPr>
                <w:rFonts w:hint="eastAsia" w:ascii="微软雅黑" w:hAnsi="微软雅黑" w:eastAsia="微软雅黑" w:cs="微软雅黑"/>
                <w:sz w:val="16"/>
                <w:szCs w:val="16"/>
                <w:lang w:val="en-US" w:eastAsia="zh-CN"/>
              </w:rPr>
              <w:t>钢丝绳（拆股试验）</w:t>
            </w:r>
          </w:p>
        </w:tc>
        <w:tc>
          <w:tcPr>
            <w:tcW w:w="1001" w:type="dxa"/>
            <w:vMerge w:val="restart"/>
            <w:tcBorders>
              <w:top w:val="single" w:color="auto" w:sz="4" w:space="0"/>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1/样</w:t>
            </w: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500（拆一股）</w:t>
            </w:r>
          </w:p>
        </w:tc>
        <w:tc>
          <w:tcPr>
            <w:tcW w:w="2314" w:type="dxa"/>
            <w:vMerge w:val="restart"/>
            <w:tcBorders>
              <w:top w:val="single" w:color="auto" w:sz="4" w:space="0"/>
              <w:left w:val="nil"/>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6*7</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1800（全拆股）</w:t>
            </w:r>
          </w:p>
        </w:tc>
        <w:tc>
          <w:tcPr>
            <w:tcW w:w="2314" w:type="dxa"/>
            <w:vMerge w:val="continue"/>
            <w:tcBorders>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900（拆一股）</w:t>
            </w:r>
          </w:p>
        </w:tc>
        <w:tc>
          <w:tcPr>
            <w:tcW w:w="2314" w:type="dxa"/>
            <w:vMerge w:val="restart"/>
            <w:tcBorders>
              <w:top w:val="single" w:color="auto" w:sz="4" w:space="0"/>
              <w:left w:val="nil"/>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6*19</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3000（全拆股）</w:t>
            </w:r>
          </w:p>
        </w:tc>
        <w:tc>
          <w:tcPr>
            <w:tcW w:w="2314" w:type="dxa"/>
            <w:vMerge w:val="continue"/>
            <w:tcBorders>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1800（拆一股）</w:t>
            </w:r>
          </w:p>
        </w:tc>
        <w:tc>
          <w:tcPr>
            <w:tcW w:w="2314" w:type="dxa"/>
            <w:vMerge w:val="restart"/>
            <w:tcBorders>
              <w:top w:val="single" w:color="auto" w:sz="4" w:space="0"/>
              <w:left w:val="nil"/>
              <w:right w:val="single" w:color="auto" w:sz="4" w:space="0"/>
            </w:tcBorders>
            <w:vAlign w:val="center"/>
          </w:tcPr>
          <w:p>
            <w:pPr>
              <w:widowControl/>
              <w:jc w:val="center"/>
              <w:rPr>
                <w:rFonts w:hint="eastAsia" w:ascii="微软雅黑" w:hAnsi="微软雅黑" w:eastAsia="微软雅黑" w:cs="微软雅黑"/>
                <w:kern w:val="0"/>
                <w:sz w:val="16"/>
                <w:szCs w:val="16"/>
                <w:lang w:val="en-US" w:eastAsia="zh-CN"/>
              </w:rPr>
            </w:pPr>
            <w:r>
              <w:rPr>
                <w:rFonts w:hint="eastAsia" w:ascii="微软雅黑" w:hAnsi="微软雅黑" w:eastAsia="微软雅黑" w:cs="微软雅黑"/>
                <w:kern w:val="0"/>
                <w:sz w:val="16"/>
                <w:szCs w:val="16"/>
                <w:lang w:val="en-US" w:eastAsia="zh-CN"/>
              </w:rPr>
              <w:t>6*37</w:t>
            </w:r>
          </w:p>
        </w:tc>
      </w:tr>
      <w:tr>
        <w:tblPrEx>
          <w:tblLayout w:type="fixed"/>
          <w:tblCellMar>
            <w:top w:w="0" w:type="dxa"/>
            <w:left w:w="108" w:type="dxa"/>
            <w:bottom w:w="0" w:type="dxa"/>
            <w:right w:w="108" w:type="dxa"/>
          </w:tblCellMar>
        </w:tblPrEx>
        <w:trPr>
          <w:trHeight w:val="283" w:hRule="atLeast"/>
        </w:trPr>
        <w:tc>
          <w:tcPr>
            <w:tcW w:w="500" w:type="dxa"/>
            <w:vMerge w:val="continue"/>
            <w:tcBorders>
              <w:left w:val="single" w:color="auto" w:sz="4" w:space="0"/>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565" w:type="dxa"/>
            <w:vMerge w:val="continue"/>
            <w:tcBorders>
              <w:left w:val="nil"/>
              <w:bottom w:val="single" w:color="auto" w:sz="4" w:space="0"/>
              <w:right w:val="single" w:color="auto" w:sz="4" w:space="0"/>
            </w:tcBorders>
            <w:vAlign w:val="center"/>
          </w:tcPr>
          <w:p>
            <w:pPr>
              <w:jc w:val="both"/>
              <w:rPr>
                <w:rFonts w:hint="eastAsia" w:ascii="微软雅黑" w:hAnsi="微软雅黑" w:eastAsia="微软雅黑" w:cs="微软雅黑"/>
                <w:sz w:val="16"/>
                <w:szCs w:val="16"/>
              </w:rPr>
            </w:pPr>
          </w:p>
        </w:tc>
        <w:tc>
          <w:tcPr>
            <w:tcW w:w="1001" w:type="dxa"/>
            <w:vMerge w:val="continue"/>
            <w:tcBorders>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c>
          <w:tcPr>
            <w:tcW w:w="2142" w:type="dxa"/>
            <w:tcBorders>
              <w:top w:val="single" w:color="auto" w:sz="4" w:space="0"/>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r>
              <w:rPr>
                <w:rFonts w:hint="eastAsia" w:ascii="微软雅黑" w:hAnsi="微软雅黑" w:eastAsia="微软雅黑" w:cs="微软雅黑"/>
                <w:kern w:val="0"/>
                <w:sz w:val="16"/>
                <w:szCs w:val="16"/>
                <w:lang w:val="en-US" w:eastAsia="zh-CN"/>
              </w:rPr>
              <w:t>4000（全拆股）</w:t>
            </w:r>
          </w:p>
        </w:tc>
        <w:tc>
          <w:tcPr>
            <w:tcW w:w="2314" w:type="dxa"/>
            <w:vMerge w:val="continue"/>
            <w:tcBorders>
              <w:left w:val="nil"/>
              <w:bottom w:val="single" w:color="auto" w:sz="4" w:space="0"/>
              <w:right w:val="single" w:color="auto" w:sz="4" w:space="0"/>
            </w:tcBorders>
            <w:vAlign w:val="center"/>
          </w:tcPr>
          <w:p>
            <w:pPr>
              <w:widowControl/>
              <w:jc w:val="center"/>
              <w:rPr>
                <w:rFonts w:hint="eastAsia" w:ascii="微软雅黑" w:hAnsi="微软雅黑" w:eastAsia="微软雅黑" w:cs="微软雅黑"/>
                <w:kern w:val="0"/>
                <w:sz w:val="16"/>
                <w:szCs w:val="16"/>
              </w:rPr>
            </w:pPr>
          </w:p>
        </w:tc>
      </w:tr>
    </w:tbl>
    <w:p>
      <w:pPr>
        <w:pStyle w:val="2"/>
        <w:keepNext w:val="0"/>
        <w:keepLines w:val="0"/>
        <w:widowControl/>
        <w:suppressLineNumbers w:val="0"/>
        <w:snapToGrid w:val="0"/>
        <w:spacing w:before="452" w:beforeAutospacing="0" w:after="422" w:afterAutospacing="0" w:line="360" w:lineRule="auto"/>
        <w:ind w:right="150"/>
      </w:pPr>
      <w:r>
        <w:rPr>
          <w:rFonts w:hint="eastAsia" w:ascii="微软雅黑" w:hAnsi="微软雅黑" w:eastAsia="微软雅黑" w:cs="微软雅黑"/>
          <w:snapToGrid w:val="0"/>
          <w:color w:val="383838"/>
          <w:sz w:val="16"/>
          <w:szCs w:val="16"/>
          <w:shd w:val="clear" w:fill="FFFFFF"/>
        </w:rPr>
        <w:t>注：钢丝绳（拆股试验）样品规格不在表中的试验按照每根钢丝50元收取费用。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libri Light">
    <w:altName w:val="Calibri"/>
    <w:panose1 w:val="020F0302020204030204"/>
    <w:charset w:val="00"/>
    <w:family w:val="swiss"/>
    <w:pitch w:val="default"/>
    <w:sig w:usb0="00000000" w:usb1="00000000" w:usb2="00000000" w:usb3="00000000" w:csb0="2000019F" w:csb1="00000000"/>
  </w:font>
  <w:font w:name=".......">
    <w:altName w:val="Segoe Print"/>
    <w:panose1 w:val="00000000000000000000"/>
    <w:charset w:val="00"/>
    <w:family w:val="auto"/>
    <w:pitch w:val="default"/>
    <w:sig w:usb0="00000000" w:usb1="00000000" w:usb2="00000000" w:usb3="00000000" w:csb0="0000019F" w:csb1="00000000"/>
  </w:font>
  <w:font w:name="方正行楷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叶根友毛笔行书2.0版">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6B76DD"/>
    <w:multiLevelType w:val="singleLevel"/>
    <w:tmpl w:val="CA6B76DD"/>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B6C1D"/>
    <w:rsid w:val="3FBB6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rFonts w:hint="eastAsia" w:ascii="微软雅黑" w:hAnsi="微软雅黑" w:eastAsia="微软雅黑" w:cs="微软雅黑"/>
      <w:color w:val="02396F"/>
      <w:u w:val="single"/>
    </w:rPr>
  </w:style>
  <w:style w:type="character" w:styleId="6">
    <w:name w:val="Hyperlink"/>
    <w:basedOn w:val="3"/>
    <w:uiPriority w:val="0"/>
    <w:rPr>
      <w:rFonts w:ascii="微软雅黑" w:hAnsi="微软雅黑" w:eastAsia="微软雅黑" w:cs="微软雅黑"/>
      <w:color w:val="02396F"/>
      <w:u w:val="single"/>
    </w:rPr>
  </w:style>
  <w:style w:type="character" w:customStyle="1" w:styleId="8">
    <w:name w:val="qxdate"/>
    <w:basedOn w:val="3"/>
    <w:uiPriority w:val="0"/>
    <w:rPr>
      <w:color w:val="333333"/>
      <w:sz w:val="12"/>
      <w:szCs w:val="12"/>
    </w:rPr>
  </w:style>
  <w:style w:type="character" w:customStyle="1" w:styleId="9">
    <w:name w:val="cfdate"/>
    <w:basedOn w:val="3"/>
    <w:uiPriority w:val="0"/>
    <w:rPr>
      <w:color w:val="333333"/>
      <w:sz w:val="12"/>
      <w:szCs w:val="12"/>
    </w:rPr>
  </w:style>
  <w:style w:type="character" w:customStyle="1" w:styleId="10">
    <w:name w:val="redfilenumber"/>
    <w:basedOn w:val="3"/>
    <w:uiPriority w:val="0"/>
    <w:rPr>
      <w:color w:val="BA2636"/>
      <w:sz w:val="12"/>
      <w:szCs w:val="12"/>
    </w:rPr>
  </w:style>
  <w:style w:type="character" w:customStyle="1" w:styleId="11">
    <w:name w:val="gjfg"/>
    <w:basedOn w:val="3"/>
    <w:uiPriority w:val="0"/>
  </w:style>
  <w:style w:type="character" w:customStyle="1" w:styleId="12">
    <w:name w:val="displayarti"/>
    <w:basedOn w:val="3"/>
    <w:uiPriority w:val="0"/>
    <w:rPr>
      <w:color w:val="FFFFFF"/>
      <w:shd w:val="clear" w:fill="A00000"/>
    </w:rPr>
  </w:style>
  <w:style w:type="character" w:customStyle="1" w:styleId="13">
    <w:name w:val="redfilefwwh"/>
    <w:basedOn w:val="3"/>
    <w:uiPriority w:val="0"/>
    <w:rPr>
      <w:color w:val="BA2636"/>
      <w:sz w:val="12"/>
      <w:szCs w:val="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2018-01-11T08:37:00Z</dcterms:created>
  <dc:creator>Administrator</dc:creator>
  <cp:lastModifiedBy>Administrator</cp:lastModifiedBy>
  <dcterms:modified xsi:type="dcterms:W3CDTF">2018-01-11T08:40:45Z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